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both"/>
        <w:rPr>
          <w:rFonts w:hint="eastAsia" w:ascii="宋体"/>
          <w:b/>
          <w:bCs/>
          <w:sz w:val="32"/>
          <w:lang w:eastAsia="zh-CN"/>
        </w:rPr>
      </w:pPr>
    </w:p>
    <w:p>
      <w:pPr>
        <w:ind w:firstLine="964" w:firstLineChars="300"/>
        <w:rPr>
          <w:b/>
          <w:bCs/>
          <w:sz w:val="32"/>
          <w:lang w:eastAsia="zh-CN"/>
        </w:rPr>
      </w:pPr>
      <w:r>
        <w:rPr>
          <w:rFonts w:hint="eastAsia"/>
          <w:b/>
          <w:bCs/>
          <w:sz w:val="32"/>
          <w:lang w:eastAsia="zh-CN"/>
        </w:rPr>
        <w:t>福建福海创石油化工有限公司</w:t>
      </w:r>
      <w:r>
        <w:rPr>
          <w:rFonts w:hint="eastAsia"/>
          <w:b/>
          <w:bCs/>
          <w:sz w:val="32"/>
          <w:szCs w:val="22"/>
          <w:u w:val="none"/>
          <w:lang w:eastAsia="zh-CN"/>
        </w:rPr>
        <w:t>泵轴</w:t>
      </w:r>
      <w:r>
        <w:rPr>
          <w:rFonts w:hint="eastAsia" w:ascii="宋体" w:eastAsia="宋体"/>
          <w:b/>
          <w:bCs/>
          <w:sz w:val="32"/>
          <w:szCs w:val="22"/>
          <w:u w:val="none"/>
          <w:lang w:eastAsia="zh-CN"/>
        </w:rPr>
        <w:t>等</w:t>
      </w:r>
      <w:r>
        <w:rPr>
          <w:rFonts w:hint="eastAsia"/>
          <w:b/>
          <w:bCs/>
          <w:sz w:val="32"/>
          <w:lang w:eastAsia="zh-CN"/>
        </w:rPr>
        <w:t>采购项</w:t>
      </w:r>
      <w:r>
        <w:rPr>
          <w:b/>
          <w:bCs/>
          <w:sz w:val="32"/>
          <w:lang w:eastAsia="zh-CN"/>
        </w:rPr>
        <w:t>目</w:t>
      </w:r>
    </w:p>
    <w:p>
      <w:pPr>
        <w:ind w:firstLine="3534" w:firstLineChars="1100"/>
        <w:rPr>
          <w:b/>
          <w:sz w:val="28"/>
          <w:lang w:eastAsia="zh-CN"/>
        </w:rPr>
      </w:pPr>
      <w:r>
        <w:rPr>
          <w:rFonts w:hint="eastAsia"/>
          <w:b/>
          <w:bCs/>
          <w:sz w:val="32"/>
          <w:lang w:eastAsia="zh-CN"/>
        </w:rPr>
        <w:t>比选公告</w:t>
      </w:r>
    </w:p>
    <w:p>
      <w:pPr>
        <w:pStyle w:val="20"/>
        <w:spacing w:line="600" w:lineRule="exact"/>
        <w:ind w:firstLine="480" w:firstLineChars="200"/>
        <w:jc w:val="both"/>
        <w:rPr>
          <w:lang w:eastAsia="zh-CN"/>
        </w:rPr>
      </w:pPr>
      <w:r>
        <w:rPr>
          <w:rFonts w:hint="eastAsia"/>
          <w:lang w:eastAsia="zh-CN"/>
        </w:rPr>
        <w:t>福建福海创石油化工有限公司就“</w:t>
      </w:r>
      <w:r>
        <w:rPr>
          <w:rFonts w:hint="eastAsia"/>
          <w:color w:val="000000" w:themeColor="text1"/>
          <w:u w:val="single"/>
          <w:lang w:eastAsia="zh-CN"/>
        </w:rPr>
        <w:t>福建福海创石油化工有限公司泵轴等采购项目（项目编号：</w:t>
      </w:r>
      <w:r>
        <w:rPr>
          <w:rFonts w:hint="eastAsia"/>
          <w:color w:val="000000" w:themeColor="text1"/>
          <w:sz w:val="24"/>
          <w:szCs w:val="24"/>
          <w:u w:val="single"/>
          <w:lang w:eastAsia="zh-CN"/>
        </w:rPr>
        <w:t>QG2211170119</w:t>
      </w:r>
      <w:r>
        <w:rPr>
          <w:rFonts w:hint="eastAsia"/>
          <w:color w:val="000000" w:themeColor="text1"/>
          <w:u w:val="single"/>
          <w:lang w:eastAsia="zh-CN"/>
        </w:rPr>
        <w:t>）</w:t>
      </w:r>
      <w:r>
        <w:rPr>
          <w:rFonts w:hint="eastAsia"/>
          <w:color w:val="000000" w:themeColor="text1"/>
          <w:lang w:eastAsia="zh-CN"/>
        </w:rPr>
        <w:t>”</w:t>
      </w:r>
      <w:r>
        <w:rPr>
          <w:lang w:eastAsia="zh-CN"/>
        </w:rPr>
        <w:t>进行国内公开比选</w:t>
      </w:r>
      <w:r>
        <w:rPr>
          <w:rFonts w:hint="eastAsia"/>
          <w:lang w:eastAsia="zh-CN"/>
        </w:rPr>
        <w:t>，欢迎国内符合条件的供应商积极参选。</w:t>
      </w:r>
    </w:p>
    <w:p>
      <w:pPr>
        <w:tabs>
          <w:tab w:val="left" w:pos="709"/>
        </w:tabs>
        <w:spacing w:line="600" w:lineRule="exact"/>
        <w:ind w:firstLine="514" w:firstLineChars="200"/>
        <w:jc w:val="both"/>
        <w:rPr>
          <w:b/>
          <w:snapToGrid w:val="0"/>
          <w:color w:val="000000" w:themeColor="text1"/>
          <w:spacing w:val="8"/>
          <w:sz w:val="24"/>
          <w:szCs w:val="24"/>
          <w:lang w:eastAsia="zh-CN"/>
        </w:rPr>
      </w:pPr>
      <w:r>
        <w:rPr>
          <w:b/>
          <w:snapToGrid w:val="0"/>
          <w:color w:val="000000" w:themeColor="text1"/>
          <w:spacing w:val="8"/>
          <w:sz w:val="24"/>
          <w:szCs w:val="24"/>
          <w:lang w:eastAsia="zh-CN"/>
        </w:rPr>
        <w:t>一</w:t>
      </w:r>
      <w:r>
        <w:rPr>
          <w:rFonts w:hint="eastAsia"/>
          <w:b/>
          <w:snapToGrid w:val="0"/>
          <w:color w:val="000000" w:themeColor="text1"/>
          <w:spacing w:val="8"/>
          <w:sz w:val="24"/>
          <w:szCs w:val="24"/>
          <w:lang w:eastAsia="zh-CN"/>
        </w:rPr>
        <w:t>、</w:t>
      </w:r>
      <w:r>
        <w:rPr>
          <w:b/>
          <w:snapToGrid w:val="0"/>
          <w:color w:val="000000" w:themeColor="text1"/>
          <w:spacing w:val="8"/>
          <w:sz w:val="24"/>
          <w:szCs w:val="24"/>
          <w:lang w:eastAsia="zh-CN"/>
        </w:rPr>
        <w:t>项目概况</w:t>
      </w:r>
    </w:p>
    <w:p>
      <w:pPr>
        <w:tabs>
          <w:tab w:val="left" w:pos="709"/>
        </w:tabs>
        <w:spacing w:line="600" w:lineRule="exact"/>
        <w:ind w:firstLine="480" w:firstLineChars="200"/>
        <w:jc w:val="both"/>
        <w:rPr>
          <w:sz w:val="24"/>
          <w:szCs w:val="24"/>
          <w:lang w:eastAsia="zh-CN"/>
        </w:rPr>
      </w:pPr>
      <w:r>
        <w:rPr>
          <w:sz w:val="24"/>
          <w:szCs w:val="24"/>
          <w:lang w:eastAsia="zh-CN"/>
        </w:rPr>
        <w:t>1.</w:t>
      </w:r>
      <w:r>
        <w:rPr>
          <w:rFonts w:hint="eastAsia"/>
          <w:sz w:val="24"/>
          <w:szCs w:val="24"/>
          <w:lang w:eastAsia="zh-CN"/>
        </w:rPr>
        <w:t>项目名称：福建福海创石油化工有限公司泵轴等采购项</w:t>
      </w:r>
      <w:r>
        <w:rPr>
          <w:sz w:val="24"/>
          <w:szCs w:val="24"/>
          <w:lang w:eastAsia="zh-CN"/>
        </w:rPr>
        <w:t>目</w:t>
      </w:r>
      <w:r>
        <w:rPr>
          <w:rFonts w:hint="eastAsia"/>
          <w:sz w:val="24"/>
          <w:szCs w:val="24"/>
          <w:lang w:eastAsia="zh-CN"/>
        </w:rPr>
        <w:t>。</w:t>
      </w:r>
    </w:p>
    <w:p>
      <w:pPr>
        <w:tabs>
          <w:tab w:val="left" w:pos="709"/>
        </w:tabs>
        <w:spacing w:line="600" w:lineRule="exact"/>
        <w:ind w:firstLine="480" w:firstLineChars="200"/>
        <w:jc w:val="both"/>
        <w:rPr>
          <w:lang w:eastAsia="zh-CN"/>
        </w:rPr>
      </w:pPr>
      <w:r>
        <w:rPr>
          <w:sz w:val="24"/>
          <w:szCs w:val="24"/>
          <w:lang w:eastAsia="zh-CN"/>
        </w:rPr>
        <w:t>2.</w:t>
      </w:r>
      <w:r>
        <w:rPr>
          <w:rFonts w:hint="eastAsia"/>
          <w:sz w:val="24"/>
          <w:szCs w:val="24"/>
          <w:lang w:eastAsia="zh-CN"/>
        </w:rPr>
        <w:t>比选项目说明：</w:t>
      </w:r>
    </w:p>
    <w:tbl>
      <w:tblPr>
        <w:tblStyle w:val="47"/>
        <w:tblpPr w:leftFromText="180" w:rightFromText="180" w:vertAnchor="text" w:horzAnchor="page" w:tblpXSpec="center" w:tblpY="287"/>
        <w:tblOverlap w:val="never"/>
        <w:tblW w:w="9698" w:type="dxa"/>
        <w:tblInd w:w="127" w:type="dxa"/>
        <w:tblLayout w:type="fixed"/>
        <w:tblCellMar>
          <w:top w:w="15" w:type="dxa"/>
          <w:left w:w="15" w:type="dxa"/>
          <w:bottom w:w="15" w:type="dxa"/>
          <w:right w:w="15" w:type="dxa"/>
        </w:tblCellMar>
      </w:tblPr>
      <w:tblGrid>
        <w:gridCol w:w="561"/>
        <w:gridCol w:w="1123"/>
        <w:gridCol w:w="1230"/>
        <w:gridCol w:w="2305"/>
        <w:gridCol w:w="2525"/>
        <w:gridCol w:w="977"/>
        <w:gridCol w:w="977"/>
      </w:tblGrid>
      <w:tr>
        <w:tblPrEx>
          <w:tblCellMar>
            <w:top w:w="15" w:type="dxa"/>
            <w:left w:w="15" w:type="dxa"/>
            <w:bottom w:w="15" w:type="dxa"/>
            <w:right w:w="15" w:type="dxa"/>
          </w:tblCellMar>
        </w:tblPrEx>
        <w:trPr>
          <w:trHeight w:val="645" w:hRule="atLeast"/>
        </w:trPr>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600" w:lineRule="exact"/>
              <w:ind w:firstLine="360" w:firstLineChars="200"/>
              <w:jc w:val="both"/>
              <w:textAlignment w:val="center"/>
              <w:rPr>
                <w:color w:val="000000"/>
                <w:sz w:val="18"/>
                <w:szCs w:val="18"/>
                <w:lang w:eastAsia="zh-CN"/>
              </w:rPr>
            </w:pPr>
            <w:r>
              <w:rPr>
                <w:rFonts w:hint="eastAsia"/>
                <w:color w:val="000000"/>
                <w:sz w:val="18"/>
                <w:szCs w:val="18"/>
                <w:lang w:eastAsia="zh-CN"/>
              </w:rPr>
              <w:t>序号</w:t>
            </w: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600" w:lineRule="exact"/>
              <w:ind w:firstLine="360" w:firstLineChars="200"/>
              <w:jc w:val="both"/>
              <w:textAlignment w:val="center"/>
              <w:rPr>
                <w:color w:val="000000"/>
                <w:sz w:val="18"/>
                <w:szCs w:val="18"/>
              </w:rPr>
            </w:pPr>
            <w:r>
              <w:rPr>
                <w:rFonts w:hint="eastAsia"/>
                <w:color w:val="000000"/>
                <w:sz w:val="18"/>
                <w:szCs w:val="18"/>
              </w:rPr>
              <w:t>存货编码</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600" w:lineRule="exact"/>
              <w:ind w:firstLine="360" w:firstLineChars="200"/>
              <w:jc w:val="both"/>
              <w:textAlignment w:val="center"/>
              <w:rPr>
                <w:color w:val="000000"/>
                <w:sz w:val="18"/>
                <w:szCs w:val="18"/>
              </w:rPr>
            </w:pPr>
            <w:r>
              <w:rPr>
                <w:rFonts w:hint="eastAsia"/>
                <w:color w:val="000000"/>
                <w:sz w:val="18"/>
                <w:szCs w:val="18"/>
              </w:rPr>
              <w:t>存货名称</w:t>
            </w:r>
          </w:p>
        </w:tc>
        <w:tc>
          <w:tcPr>
            <w:tcW w:w="2305"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spacing w:line="600" w:lineRule="exact"/>
              <w:ind w:firstLine="360" w:firstLineChars="200"/>
              <w:jc w:val="both"/>
              <w:textAlignment w:val="center"/>
              <w:rPr>
                <w:color w:val="000000"/>
                <w:sz w:val="18"/>
                <w:szCs w:val="18"/>
              </w:rPr>
            </w:pPr>
            <w:r>
              <w:rPr>
                <w:rFonts w:hint="eastAsia"/>
                <w:color w:val="000000"/>
                <w:sz w:val="18"/>
                <w:szCs w:val="18"/>
              </w:rPr>
              <w:t>规格/型号</w:t>
            </w:r>
          </w:p>
        </w:tc>
        <w:tc>
          <w:tcPr>
            <w:tcW w:w="25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600" w:lineRule="exact"/>
              <w:ind w:firstLine="360" w:firstLineChars="200"/>
              <w:jc w:val="both"/>
              <w:textAlignment w:val="center"/>
              <w:rPr>
                <w:color w:val="000000"/>
                <w:sz w:val="18"/>
                <w:szCs w:val="18"/>
              </w:rPr>
            </w:pPr>
            <w:r>
              <w:rPr>
                <w:rFonts w:hint="eastAsia"/>
                <w:color w:val="000000"/>
                <w:sz w:val="18"/>
                <w:szCs w:val="18"/>
              </w:rPr>
              <w:t>型号</w:t>
            </w:r>
          </w:p>
        </w:tc>
        <w:tc>
          <w:tcPr>
            <w:tcW w:w="9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600" w:lineRule="exact"/>
              <w:ind w:firstLine="360" w:firstLineChars="200"/>
              <w:jc w:val="both"/>
              <w:textAlignment w:val="center"/>
              <w:rPr>
                <w:color w:val="000000"/>
                <w:sz w:val="18"/>
                <w:szCs w:val="18"/>
              </w:rPr>
            </w:pPr>
            <w:r>
              <w:rPr>
                <w:rFonts w:hint="eastAsia"/>
                <w:color w:val="000000"/>
                <w:sz w:val="18"/>
                <w:szCs w:val="18"/>
              </w:rPr>
              <w:t>单位</w:t>
            </w:r>
          </w:p>
        </w:tc>
        <w:tc>
          <w:tcPr>
            <w:tcW w:w="9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600" w:lineRule="exact"/>
              <w:ind w:firstLine="360" w:firstLineChars="200"/>
              <w:jc w:val="both"/>
              <w:textAlignment w:val="center"/>
              <w:rPr>
                <w:rFonts w:hint="eastAsia"/>
                <w:color w:val="000000"/>
                <w:sz w:val="18"/>
                <w:szCs w:val="18"/>
              </w:rPr>
            </w:pPr>
            <w:r>
              <w:rPr>
                <w:rFonts w:hint="eastAsia"/>
                <w:color w:val="000000"/>
                <w:sz w:val="18"/>
                <w:szCs w:val="18"/>
              </w:rPr>
              <w:t>数量</w:t>
            </w:r>
          </w:p>
        </w:tc>
      </w:tr>
      <w:tr>
        <w:tblPrEx>
          <w:tblCellMar>
            <w:top w:w="15" w:type="dxa"/>
            <w:left w:w="15" w:type="dxa"/>
            <w:bottom w:w="15" w:type="dxa"/>
            <w:right w:w="15" w:type="dxa"/>
          </w:tblCellMar>
        </w:tblPrEx>
        <w:trPr>
          <w:trHeight w:val="706" w:hRule="atLeast"/>
        </w:trPr>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600" w:lineRule="exact"/>
              <w:ind w:firstLine="360" w:firstLineChars="200"/>
              <w:jc w:val="both"/>
              <w:textAlignment w:val="top"/>
              <w:rPr>
                <w:color w:val="000000"/>
                <w:sz w:val="18"/>
                <w:szCs w:val="18"/>
                <w:lang w:eastAsia="zh-CN"/>
              </w:rPr>
            </w:pPr>
            <w:r>
              <w:rPr>
                <w:rFonts w:hint="eastAsia"/>
                <w:color w:val="000000"/>
                <w:sz w:val="18"/>
                <w:szCs w:val="18"/>
                <w:lang w:eastAsia="zh-CN"/>
              </w:rPr>
              <w:t>1</w:t>
            </w: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600" w:lineRule="exact"/>
              <w:ind w:firstLine="400" w:firstLineChars="200"/>
              <w:jc w:val="both"/>
              <w:textAlignment w:val="top"/>
              <w:rPr>
                <w:color w:val="000000"/>
                <w:sz w:val="18"/>
                <w:szCs w:val="18"/>
                <w:lang w:eastAsia="zh-CN"/>
              </w:rPr>
            </w:pPr>
            <w:r>
              <w:rPr>
                <w:rFonts w:hint="eastAsia" w:ascii="宋体" w:hAnsi="宋体" w:eastAsia="宋体" w:cs="宋体"/>
                <w:i w:val="0"/>
                <w:iCs w:val="0"/>
                <w:color w:val="000000"/>
                <w:kern w:val="0"/>
                <w:sz w:val="20"/>
                <w:szCs w:val="20"/>
                <w:u w:val="none"/>
                <w:lang w:val="en-US" w:eastAsia="zh-CN" w:bidi="ar"/>
              </w:rPr>
              <w:t>1507040044</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600" w:lineRule="exact"/>
              <w:ind w:firstLine="400" w:firstLineChars="200"/>
              <w:jc w:val="both"/>
              <w:textAlignment w:val="top"/>
              <w:rPr>
                <w:color w:val="000000"/>
                <w:sz w:val="18"/>
                <w:szCs w:val="18"/>
                <w:lang w:eastAsia="zh-CN"/>
              </w:rPr>
            </w:pPr>
            <w:r>
              <w:rPr>
                <w:rFonts w:hint="eastAsia" w:ascii="宋体" w:hAnsi="宋体" w:eastAsia="宋体" w:cs="宋体"/>
                <w:i w:val="0"/>
                <w:iCs w:val="0"/>
                <w:color w:val="000000"/>
                <w:kern w:val="0"/>
                <w:sz w:val="20"/>
                <w:szCs w:val="20"/>
                <w:u w:val="none"/>
                <w:lang w:val="en-US" w:eastAsia="zh-CN" w:bidi="ar"/>
              </w:rPr>
              <w:t>泵轴C</w:t>
            </w:r>
          </w:p>
        </w:tc>
        <w:tc>
          <w:tcPr>
            <w:tcW w:w="2305"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spacing w:line="600" w:lineRule="exact"/>
              <w:ind w:firstLine="400" w:firstLineChars="200"/>
              <w:jc w:val="both"/>
              <w:textAlignment w:val="top"/>
              <w:rPr>
                <w:color w:val="000000"/>
                <w:sz w:val="18"/>
                <w:szCs w:val="18"/>
                <w:lang w:eastAsia="zh-CN"/>
              </w:rPr>
            </w:pPr>
            <w:r>
              <w:rPr>
                <w:rFonts w:hint="eastAsia" w:ascii="宋体" w:hAnsi="宋体" w:eastAsia="宋体" w:cs="宋体"/>
                <w:i w:val="0"/>
                <w:iCs w:val="0"/>
                <w:color w:val="000000"/>
                <w:kern w:val="0"/>
                <w:sz w:val="20"/>
                <w:szCs w:val="20"/>
                <w:u w:val="none"/>
                <w:lang w:val="en-US" w:eastAsia="zh-CN" w:bidi="ar"/>
              </w:rPr>
              <w:t>φ205x4855\ 材质：00Cr22Ni5Mo3N</w:t>
            </w:r>
          </w:p>
        </w:tc>
        <w:tc>
          <w:tcPr>
            <w:tcW w:w="2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600" w:lineRule="exact"/>
              <w:ind w:firstLine="400" w:firstLineChars="200"/>
              <w:jc w:val="both"/>
              <w:textAlignment w:val="top"/>
              <w:rPr>
                <w:color w:val="000000"/>
                <w:sz w:val="18"/>
                <w:szCs w:val="18"/>
                <w:lang w:eastAsia="zh-CN"/>
              </w:rPr>
            </w:pPr>
            <w:r>
              <w:rPr>
                <w:rFonts w:hint="eastAsia" w:ascii="宋体" w:hAnsi="宋体" w:eastAsia="宋体" w:cs="宋体"/>
                <w:i w:val="0"/>
                <w:iCs w:val="0"/>
                <w:color w:val="000000"/>
                <w:kern w:val="0"/>
                <w:sz w:val="20"/>
                <w:szCs w:val="20"/>
                <w:u w:val="none"/>
                <w:lang w:val="en-US" w:eastAsia="zh-CN" w:bidi="ar"/>
              </w:rPr>
              <w:t>位号：P8002A~G泵\泵型号：76LKXA-37\厂家：湖南湘电长沙水泵有限公司</w:t>
            </w:r>
          </w:p>
        </w:tc>
        <w:tc>
          <w:tcPr>
            <w:tcW w:w="9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600" w:lineRule="exact"/>
              <w:ind w:firstLine="400" w:firstLineChars="200"/>
              <w:jc w:val="both"/>
              <w:textAlignment w:val="top"/>
              <w:rPr>
                <w:color w:val="000000"/>
                <w:sz w:val="18"/>
                <w:szCs w:val="18"/>
                <w:lang w:eastAsia="zh-CN"/>
              </w:rPr>
            </w:pPr>
            <w:r>
              <w:rPr>
                <w:rFonts w:hint="eastAsia" w:ascii="宋体" w:hAnsi="宋体" w:eastAsia="宋体" w:cs="宋体"/>
                <w:i w:val="0"/>
                <w:iCs w:val="0"/>
                <w:color w:val="000000"/>
                <w:kern w:val="0"/>
                <w:sz w:val="20"/>
                <w:szCs w:val="20"/>
                <w:u w:val="none"/>
                <w:lang w:val="en-US" w:eastAsia="zh-CN" w:bidi="ar"/>
              </w:rPr>
              <w:t>根</w:t>
            </w:r>
          </w:p>
        </w:tc>
        <w:tc>
          <w:tcPr>
            <w:tcW w:w="9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600" w:lineRule="exact"/>
              <w:ind w:firstLine="400" w:firstLineChars="200"/>
              <w:jc w:val="both"/>
              <w:textAlignment w:val="top"/>
              <w:rPr>
                <w:rFonts w:hint="default"/>
                <w:color w:val="000000"/>
                <w:sz w:val="20"/>
                <w:szCs w:val="20"/>
                <w:lang w:val="en-US" w:eastAsia="zh-CN"/>
              </w:rPr>
            </w:pPr>
            <w:r>
              <w:rPr>
                <w:rFonts w:hint="eastAsia"/>
                <w:color w:val="000000"/>
                <w:sz w:val="20"/>
                <w:szCs w:val="20"/>
                <w:lang w:val="en-US" w:eastAsia="zh-CN"/>
              </w:rPr>
              <w:t>1</w:t>
            </w:r>
          </w:p>
        </w:tc>
      </w:tr>
      <w:tr>
        <w:tblPrEx>
          <w:tblCellMar>
            <w:top w:w="15" w:type="dxa"/>
            <w:left w:w="15" w:type="dxa"/>
            <w:bottom w:w="15" w:type="dxa"/>
            <w:right w:w="15" w:type="dxa"/>
          </w:tblCellMar>
        </w:tblPrEx>
        <w:trPr>
          <w:trHeight w:val="696" w:hRule="atLeast"/>
        </w:trPr>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600" w:lineRule="exact"/>
              <w:ind w:firstLine="360" w:firstLineChars="200"/>
              <w:jc w:val="both"/>
              <w:textAlignment w:val="top"/>
              <w:rPr>
                <w:color w:val="000000"/>
                <w:sz w:val="18"/>
                <w:szCs w:val="18"/>
                <w:lang w:eastAsia="zh-CN"/>
              </w:rPr>
            </w:pPr>
            <w:r>
              <w:rPr>
                <w:rFonts w:hint="eastAsia"/>
                <w:color w:val="000000"/>
                <w:sz w:val="18"/>
                <w:szCs w:val="18"/>
                <w:lang w:eastAsia="zh-CN"/>
              </w:rPr>
              <w:t>2</w:t>
            </w: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600" w:lineRule="exact"/>
              <w:ind w:firstLine="400" w:firstLineChars="200"/>
              <w:jc w:val="both"/>
              <w:textAlignment w:val="top"/>
              <w:rPr>
                <w:color w:val="000000"/>
                <w:sz w:val="18"/>
                <w:szCs w:val="18"/>
                <w:lang w:eastAsia="zh-CN"/>
              </w:rPr>
            </w:pPr>
            <w:r>
              <w:rPr>
                <w:rFonts w:hint="eastAsia" w:ascii="宋体" w:hAnsi="宋体" w:eastAsia="宋体" w:cs="宋体"/>
                <w:i w:val="0"/>
                <w:iCs w:val="0"/>
                <w:color w:val="000000"/>
                <w:kern w:val="0"/>
                <w:sz w:val="20"/>
                <w:szCs w:val="20"/>
                <w:u w:val="none"/>
                <w:lang w:val="en-US" w:eastAsia="zh-CN" w:bidi="ar"/>
              </w:rPr>
              <w:t>1507040019</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600" w:lineRule="exact"/>
              <w:ind w:firstLine="400" w:firstLineChars="200"/>
              <w:jc w:val="both"/>
              <w:textAlignment w:val="top"/>
              <w:rPr>
                <w:color w:val="000000"/>
                <w:sz w:val="18"/>
                <w:szCs w:val="18"/>
                <w:lang w:eastAsia="zh-CN"/>
              </w:rPr>
            </w:pPr>
            <w:r>
              <w:rPr>
                <w:rFonts w:hint="eastAsia" w:ascii="宋体" w:hAnsi="宋体" w:eastAsia="宋体" w:cs="宋体"/>
                <w:i w:val="0"/>
                <w:iCs w:val="0"/>
                <w:color w:val="000000"/>
                <w:kern w:val="0"/>
                <w:sz w:val="20"/>
                <w:szCs w:val="20"/>
                <w:u w:val="none"/>
                <w:lang w:val="en-US" w:eastAsia="zh-CN" w:bidi="ar"/>
              </w:rPr>
              <w:t>泵轴a</w:t>
            </w:r>
          </w:p>
        </w:tc>
        <w:tc>
          <w:tcPr>
            <w:tcW w:w="2305"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spacing w:line="600" w:lineRule="exact"/>
              <w:ind w:firstLine="400" w:firstLineChars="200"/>
              <w:jc w:val="both"/>
              <w:textAlignment w:val="top"/>
              <w:rPr>
                <w:color w:val="000000"/>
                <w:sz w:val="18"/>
                <w:szCs w:val="18"/>
                <w:lang w:eastAsia="zh-CN"/>
              </w:rPr>
            </w:pPr>
            <w:r>
              <w:rPr>
                <w:rFonts w:hint="eastAsia" w:ascii="宋体" w:hAnsi="宋体" w:eastAsia="宋体" w:cs="宋体"/>
                <w:i w:val="0"/>
                <w:iCs w:val="0"/>
                <w:color w:val="000000"/>
                <w:kern w:val="0"/>
                <w:sz w:val="20"/>
                <w:szCs w:val="20"/>
                <w:u w:val="none"/>
                <w:lang w:val="en-US" w:eastAsia="zh-CN" w:bidi="ar"/>
              </w:rPr>
              <w:t>φ205X4500 材质：00Cr22Ni5Mo3N</w:t>
            </w:r>
          </w:p>
        </w:tc>
        <w:tc>
          <w:tcPr>
            <w:tcW w:w="2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600" w:lineRule="exact"/>
              <w:ind w:firstLine="400" w:firstLineChars="200"/>
              <w:jc w:val="both"/>
              <w:textAlignment w:val="top"/>
              <w:rPr>
                <w:color w:val="000000"/>
                <w:sz w:val="18"/>
                <w:szCs w:val="18"/>
                <w:lang w:eastAsia="zh-CN"/>
              </w:rPr>
            </w:pPr>
            <w:r>
              <w:rPr>
                <w:rFonts w:hint="eastAsia" w:ascii="宋体" w:hAnsi="宋体" w:eastAsia="宋体" w:cs="宋体"/>
                <w:i w:val="0"/>
                <w:iCs w:val="0"/>
                <w:color w:val="000000"/>
                <w:kern w:val="0"/>
                <w:sz w:val="20"/>
                <w:szCs w:val="20"/>
                <w:u w:val="none"/>
                <w:lang w:val="en-US" w:eastAsia="zh-CN" w:bidi="ar"/>
              </w:rPr>
              <w:t>76LKXA-37 位号：P8002A~G</w:t>
            </w:r>
          </w:p>
        </w:tc>
        <w:tc>
          <w:tcPr>
            <w:tcW w:w="9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600" w:lineRule="exact"/>
              <w:ind w:firstLine="400" w:firstLineChars="200"/>
              <w:jc w:val="both"/>
              <w:textAlignment w:val="top"/>
              <w:rPr>
                <w:color w:val="000000"/>
                <w:sz w:val="18"/>
                <w:szCs w:val="18"/>
                <w:lang w:eastAsia="zh-CN"/>
              </w:rPr>
            </w:pPr>
            <w:r>
              <w:rPr>
                <w:rFonts w:hint="eastAsia" w:ascii="宋体" w:hAnsi="宋体" w:eastAsia="宋体" w:cs="宋体"/>
                <w:i w:val="0"/>
                <w:iCs w:val="0"/>
                <w:color w:val="000000"/>
                <w:kern w:val="0"/>
                <w:sz w:val="20"/>
                <w:szCs w:val="20"/>
                <w:u w:val="none"/>
                <w:lang w:val="en-US" w:eastAsia="zh-CN" w:bidi="ar"/>
              </w:rPr>
              <w:t>根</w:t>
            </w:r>
          </w:p>
        </w:tc>
        <w:tc>
          <w:tcPr>
            <w:tcW w:w="9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600" w:lineRule="exact"/>
              <w:ind w:firstLine="400" w:firstLineChars="200"/>
              <w:jc w:val="both"/>
              <w:textAlignment w:val="top"/>
              <w:rPr>
                <w:rFonts w:hint="default"/>
                <w:color w:val="000000"/>
                <w:sz w:val="20"/>
                <w:szCs w:val="20"/>
                <w:lang w:val="en-US" w:eastAsia="zh-CN"/>
              </w:rPr>
            </w:pPr>
            <w:r>
              <w:rPr>
                <w:rFonts w:hint="eastAsia"/>
                <w:color w:val="000000"/>
                <w:sz w:val="20"/>
                <w:szCs w:val="20"/>
                <w:lang w:val="en-US" w:eastAsia="zh-CN"/>
              </w:rPr>
              <w:t>1</w:t>
            </w:r>
          </w:p>
        </w:tc>
      </w:tr>
      <w:tr>
        <w:tblPrEx>
          <w:tblCellMar>
            <w:top w:w="15" w:type="dxa"/>
            <w:left w:w="15" w:type="dxa"/>
            <w:bottom w:w="15" w:type="dxa"/>
            <w:right w:w="15" w:type="dxa"/>
          </w:tblCellMar>
        </w:tblPrEx>
        <w:trPr>
          <w:trHeight w:val="696" w:hRule="atLeast"/>
        </w:trPr>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600" w:lineRule="exact"/>
              <w:ind w:firstLine="360" w:firstLineChars="200"/>
              <w:jc w:val="both"/>
              <w:textAlignment w:val="top"/>
              <w:rPr>
                <w:color w:val="000000"/>
                <w:sz w:val="18"/>
                <w:szCs w:val="18"/>
                <w:lang w:eastAsia="zh-CN"/>
              </w:rPr>
            </w:pPr>
            <w:r>
              <w:rPr>
                <w:rFonts w:hint="eastAsia"/>
                <w:color w:val="000000"/>
                <w:sz w:val="18"/>
                <w:szCs w:val="18"/>
                <w:lang w:eastAsia="zh-CN"/>
              </w:rPr>
              <w:t>3</w:t>
            </w:r>
          </w:p>
        </w:tc>
        <w:tc>
          <w:tcPr>
            <w:tcW w:w="11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600" w:lineRule="exact"/>
              <w:ind w:firstLine="400" w:firstLineChars="200"/>
              <w:jc w:val="both"/>
              <w:textAlignment w:val="top"/>
              <w:rPr>
                <w:color w:val="000000"/>
                <w:sz w:val="18"/>
                <w:szCs w:val="18"/>
                <w:lang w:eastAsia="zh-CN"/>
              </w:rPr>
            </w:pPr>
            <w:r>
              <w:rPr>
                <w:rFonts w:hint="eastAsia" w:ascii="宋体" w:hAnsi="宋体" w:eastAsia="宋体" w:cs="宋体"/>
                <w:i w:val="0"/>
                <w:iCs w:val="0"/>
                <w:color w:val="000000"/>
                <w:kern w:val="0"/>
                <w:sz w:val="20"/>
                <w:szCs w:val="20"/>
                <w:u w:val="none"/>
                <w:lang w:val="en-US" w:eastAsia="zh-CN" w:bidi="ar"/>
              </w:rPr>
              <w:t>1507040018</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600" w:lineRule="exact"/>
              <w:ind w:firstLine="400" w:firstLineChars="200"/>
              <w:jc w:val="both"/>
              <w:textAlignment w:val="top"/>
              <w:rPr>
                <w:color w:val="000000"/>
                <w:sz w:val="18"/>
                <w:szCs w:val="18"/>
                <w:lang w:eastAsia="zh-CN"/>
              </w:rPr>
            </w:pPr>
            <w:r>
              <w:rPr>
                <w:rFonts w:hint="eastAsia" w:ascii="宋体" w:hAnsi="宋体" w:eastAsia="宋体" w:cs="宋体"/>
                <w:i w:val="0"/>
                <w:iCs w:val="0"/>
                <w:color w:val="000000"/>
                <w:kern w:val="0"/>
                <w:sz w:val="20"/>
                <w:szCs w:val="20"/>
                <w:u w:val="none"/>
                <w:lang w:val="en-US" w:eastAsia="zh-CN" w:bidi="ar"/>
              </w:rPr>
              <w:t>泵轴b</w:t>
            </w:r>
          </w:p>
        </w:tc>
        <w:tc>
          <w:tcPr>
            <w:tcW w:w="2305"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spacing w:line="600" w:lineRule="exact"/>
              <w:ind w:firstLine="400" w:firstLineChars="200"/>
              <w:jc w:val="both"/>
              <w:textAlignment w:val="top"/>
              <w:rPr>
                <w:color w:val="000000"/>
                <w:sz w:val="18"/>
                <w:szCs w:val="18"/>
                <w:lang w:eastAsia="zh-CN"/>
              </w:rPr>
            </w:pPr>
            <w:r>
              <w:rPr>
                <w:rFonts w:hint="eastAsia" w:ascii="宋体" w:hAnsi="宋体" w:eastAsia="宋体" w:cs="宋体"/>
                <w:i w:val="0"/>
                <w:iCs w:val="0"/>
                <w:color w:val="000000"/>
                <w:kern w:val="0"/>
                <w:sz w:val="20"/>
                <w:szCs w:val="20"/>
                <w:u w:val="none"/>
                <w:lang w:val="en-US" w:eastAsia="zh-CN" w:bidi="ar"/>
              </w:rPr>
              <w:t>φ205X4996 材质：00Cr22Ni5Mo3N</w:t>
            </w:r>
          </w:p>
        </w:tc>
        <w:tc>
          <w:tcPr>
            <w:tcW w:w="2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600" w:lineRule="exact"/>
              <w:ind w:firstLine="400" w:firstLineChars="200"/>
              <w:jc w:val="both"/>
              <w:textAlignment w:val="top"/>
              <w:rPr>
                <w:color w:val="000000"/>
                <w:sz w:val="18"/>
                <w:szCs w:val="18"/>
                <w:lang w:eastAsia="zh-CN"/>
              </w:rPr>
            </w:pPr>
            <w:r>
              <w:rPr>
                <w:rFonts w:hint="eastAsia" w:ascii="宋体" w:hAnsi="宋体" w:eastAsia="宋体" w:cs="宋体"/>
                <w:i w:val="0"/>
                <w:iCs w:val="0"/>
                <w:color w:val="000000"/>
                <w:kern w:val="0"/>
                <w:sz w:val="20"/>
                <w:szCs w:val="20"/>
                <w:u w:val="none"/>
                <w:lang w:val="en-US" w:eastAsia="zh-CN" w:bidi="ar"/>
              </w:rPr>
              <w:t>76LKXA-37 位号：P8002A~G</w:t>
            </w:r>
          </w:p>
        </w:tc>
        <w:tc>
          <w:tcPr>
            <w:tcW w:w="9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600" w:lineRule="exact"/>
              <w:ind w:firstLine="400" w:firstLineChars="200"/>
              <w:jc w:val="both"/>
              <w:textAlignment w:val="top"/>
              <w:rPr>
                <w:color w:val="000000"/>
                <w:sz w:val="18"/>
                <w:szCs w:val="18"/>
                <w:lang w:eastAsia="zh-CN"/>
              </w:rPr>
            </w:pPr>
            <w:r>
              <w:rPr>
                <w:rFonts w:hint="eastAsia" w:ascii="宋体" w:hAnsi="宋体" w:eastAsia="宋体" w:cs="宋体"/>
                <w:i w:val="0"/>
                <w:iCs w:val="0"/>
                <w:color w:val="000000"/>
                <w:kern w:val="0"/>
                <w:sz w:val="20"/>
                <w:szCs w:val="20"/>
                <w:u w:val="none"/>
                <w:lang w:val="en-US" w:eastAsia="zh-CN" w:bidi="ar"/>
              </w:rPr>
              <w:t>根</w:t>
            </w:r>
          </w:p>
        </w:tc>
        <w:tc>
          <w:tcPr>
            <w:tcW w:w="9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600" w:lineRule="exact"/>
              <w:ind w:firstLine="400" w:firstLineChars="200"/>
              <w:jc w:val="both"/>
              <w:textAlignment w:val="top"/>
              <w:rPr>
                <w:rFonts w:hint="default"/>
                <w:color w:val="000000"/>
                <w:sz w:val="20"/>
                <w:szCs w:val="20"/>
                <w:lang w:val="en-US" w:eastAsia="zh-CN"/>
              </w:rPr>
            </w:pPr>
            <w:r>
              <w:rPr>
                <w:rFonts w:hint="eastAsia"/>
                <w:color w:val="000000"/>
                <w:sz w:val="20"/>
                <w:szCs w:val="20"/>
                <w:lang w:val="en-US" w:eastAsia="zh-CN"/>
              </w:rPr>
              <w:t>1</w:t>
            </w:r>
          </w:p>
        </w:tc>
      </w:tr>
    </w:tbl>
    <w:p>
      <w:pPr>
        <w:tabs>
          <w:tab w:val="left" w:pos="709"/>
        </w:tabs>
        <w:spacing w:line="600" w:lineRule="exact"/>
        <w:ind w:firstLine="480" w:firstLineChars="200"/>
        <w:jc w:val="both"/>
        <w:rPr>
          <w:rFonts w:hint="eastAsia"/>
          <w:sz w:val="24"/>
          <w:lang w:eastAsia="zh-CN"/>
        </w:rPr>
      </w:pPr>
      <w:r>
        <w:rPr>
          <w:rFonts w:hint="eastAsia"/>
          <w:sz w:val="24"/>
          <w:szCs w:val="24"/>
          <w:lang w:eastAsia="zh-CN"/>
        </w:rPr>
        <w:t>3.</w:t>
      </w:r>
      <w:r>
        <w:rPr>
          <w:rFonts w:hint="eastAsia"/>
          <w:sz w:val="24"/>
          <w:lang w:eastAsia="zh-CN"/>
        </w:rPr>
        <w:t>付款方式要求：无预付款。全部货款以现汇支付，货到验收合格付90%，质保金10%。</w:t>
      </w:r>
    </w:p>
    <w:p>
      <w:pPr>
        <w:tabs>
          <w:tab w:val="left" w:pos="709"/>
        </w:tabs>
        <w:spacing w:line="600" w:lineRule="exact"/>
        <w:ind w:firstLine="480" w:firstLineChars="200"/>
        <w:jc w:val="both"/>
        <w:rPr>
          <w:rFonts w:hint="eastAsia"/>
          <w:sz w:val="24"/>
          <w:lang w:eastAsia="zh-CN"/>
        </w:rPr>
      </w:pPr>
      <w:r>
        <w:rPr>
          <w:rFonts w:hint="eastAsia"/>
          <w:b w:val="0"/>
          <w:sz w:val="24"/>
          <w:lang w:val="en-US" w:eastAsia="zh-CN"/>
        </w:rPr>
        <w:t>4、</w:t>
      </w:r>
      <w:r>
        <w:rPr>
          <w:rFonts w:hint="eastAsia"/>
          <w:b w:val="0"/>
          <w:sz w:val="24"/>
          <w:lang w:eastAsia="zh-CN"/>
        </w:rPr>
        <w:t>本项目设置最高控制价</w:t>
      </w:r>
      <w:r>
        <w:rPr>
          <w:rFonts w:hint="eastAsia"/>
          <w:b w:val="0"/>
          <w:sz w:val="24"/>
          <w:lang w:val="en-US" w:eastAsia="zh-CN"/>
        </w:rPr>
        <w:t>31.64</w:t>
      </w:r>
      <w:r>
        <w:rPr>
          <w:rFonts w:hint="eastAsia"/>
          <w:b w:val="0"/>
          <w:sz w:val="24"/>
          <w:lang w:eastAsia="zh-CN"/>
        </w:rPr>
        <w:t>万元整（含税</w:t>
      </w:r>
      <w:r>
        <w:rPr>
          <w:rFonts w:hint="eastAsia"/>
          <w:b w:val="0"/>
          <w:sz w:val="24"/>
          <w:lang w:val="en-US" w:eastAsia="zh-CN"/>
        </w:rPr>
        <w:t>13%</w:t>
      </w:r>
      <w:r>
        <w:rPr>
          <w:rFonts w:hint="eastAsia"/>
          <w:b w:val="0"/>
          <w:sz w:val="24"/>
          <w:lang w:eastAsia="zh-CN"/>
        </w:rPr>
        <w:t>包干总价）</w:t>
      </w:r>
      <w:r>
        <w:rPr>
          <w:rFonts w:hint="eastAsia"/>
          <w:sz w:val="24"/>
          <w:lang w:eastAsia="zh-CN"/>
        </w:rPr>
        <w:t>。</w:t>
      </w:r>
    </w:p>
    <w:p>
      <w:pPr>
        <w:tabs>
          <w:tab w:val="left" w:pos="709"/>
        </w:tabs>
        <w:spacing w:line="600" w:lineRule="exact"/>
        <w:ind w:firstLine="514" w:firstLineChars="200"/>
        <w:jc w:val="both"/>
        <w:rPr>
          <w:b/>
          <w:snapToGrid w:val="0"/>
          <w:color w:val="000000" w:themeColor="text1"/>
          <w:spacing w:val="8"/>
          <w:sz w:val="24"/>
          <w:szCs w:val="24"/>
          <w:lang w:eastAsia="zh-CN"/>
        </w:rPr>
      </w:pPr>
      <w:r>
        <w:rPr>
          <w:b/>
          <w:snapToGrid w:val="0"/>
          <w:color w:val="000000" w:themeColor="text1"/>
          <w:spacing w:val="8"/>
          <w:sz w:val="24"/>
          <w:szCs w:val="24"/>
          <w:lang w:eastAsia="zh-CN"/>
        </w:rPr>
        <w:t>二、参选人资格要求</w:t>
      </w:r>
    </w:p>
    <w:p>
      <w:pPr>
        <w:tabs>
          <w:tab w:val="left" w:pos="709"/>
        </w:tabs>
        <w:spacing w:line="600" w:lineRule="exact"/>
        <w:ind w:firstLine="480" w:firstLineChars="200"/>
        <w:jc w:val="both"/>
        <w:rPr>
          <w:sz w:val="24"/>
          <w:szCs w:val="24"/>
          <w:lang w:eastAsia="zh-CN"/>
        </w:rPr>
      </w:pPr>
      <w:r>
        <w:rPr>
          <w:rFonts w:hint="eastAsia"/>
          <w:sz w:val="24"/>
          <w:szCs w:val="24"/>
          <w:lang w:eastAsia="zh-CN"/>
        </w:rPr>
        <w:t>1.参选人必须具备有效的企业法人营业执照，</w:t>
      </w:r>
      <w:r>
        <w:rPr>
          <w:rFonts w:hint="eastAsia"/>
          <w:color w:val="000000"/>
          <w:sz w:val="24"/>
          <w:szCs w:val="24"/>
          <w:lang w:eastAsia="zh-CN"/>
        </w:rPr>
        <w:t>参选单位应是具备独立法人资格且有能力按我司需求提供货物及服务的厂商。</w:t>
      </w:r>
    </w:p>
    <w:p>
      <w:pPr>
        <w:pStyle w:val="202"/>
        <w:spacing w:line="600" w:lineRule="exact"/>
        <w:ind w:firstLine="480"/>
        <w:rPr>
          <w:sz w:val="24"/>
          <w:szCs w:val="24"/>
        </w:rPr>
      </w:pPr>
      <w:r>
        <w:rPr>
          <w:color w:val="000000" w:themeColor="text1"/>
          <w:sz w:val="24"/>
          <w:szCs w:val="24"/>
        </w:rPr>
        <w:t>2</w:t>
      </w:r>
      <w:r>
        <w:rPr>
          <w:rFonts w:hint="eastAsia"/>
          <w:color w:val="000000" w:themeColor="text1"/>
          <w:sz w:val="24"/>
          <w:szCs w:val="24"/>
        </w:rPr>
        <w:t>.</w:t>
      </w:r>
      <w:r>
        <w:rPr>
          <w:sz w:val="24"/>
          <w:szCs w:val="24"/>
        </w:rPr>
        <w:t xml:space="preserve"> 单位负责人为同一人或者存在控股、管理关系的不同单位不得同时参加本项目的比选；</w:t>
      </w:r>
      <w:r>
        <w:rPr>
          <w:color w:val="000000" w:themeColor="text1"/>
          <w:sz w:val="24"/>
          <w:szCs w:val="24"/>
        </w:rPr>
        <w:t>参选人没有失信黑名单记录（以最高院失信被执行人系统发布信息为准）</w:t>
      </w:r>
      <w:r>
        <w:rPr>
          <w:rFonts w:hint="eastAsia"/>
          <w:color w:val="000000" w:themeColor="text1"/>
          <w:sz w:val="24"/>
          <w:szCs w:val="24"/>
        </w:rPr>
        <w:t>，</w:t>
      </w:r>
      <w:r>
        <w:rPr>
          <w:color w:val="000000" w:themeColor="text1"/>
          <w:sz w:val="24"/>
          <w:szCs w:val="24"/>
        </w:rPr>
        <w:t>与</w:t>
      </w:r>
      <w:r>
        <w:rPr>
          <w:rFonts w:hint="eastAsia"/>
          <w:color w:val="000000" w:themeColor="text1"/>
          <w:sz w:val="24"/>
          <w:szCs w:val="24"/>
        </w:rPr>
        <w:t>比选人</w:t>
      </w:r>
      <w:r>
        <w:rPr>
          <w:color w:val="000000" w:themeColor="text1"/>
          <w:sz w:val="24"/>
          <w:szCs w:val="24"/>
        </w:rPr>
        <w:t>无诉讼纠纷</w:t>
      </w:r>
      <w:r>
        <w:rPr>
          <w:rFonts w:hint="eastAsia"/>
          <w:color w:val="000000" w:themeColor="text1"/>
          <w:sz w:val="24"/>
          <w:szCs w:val="24"/>
        </w:rPr>
        <w:t>。</w:t>
      </w:r>
    </w:p>
    <w:p>
      <w:pPr>
        <w:pStyle w:val="71"/>
        <w:spacing w:line="600" w:lineRule="exact"/>
        <w:ind w:left="360" w:firstLine="480" w:firstLineChars="200"/>
        <w:jc w:val="both"/>
        <w:rPr>
          <w:rStyle w:val="215"/>
          <w:color w:val="000000"/>
          <w:sz w:val="27"/>
          <w:szCs w:val="27"/>
        </w:rPr>
      </w:pPr>
      <w:r>
        <w:rPr>
          <w:rFonts w:hint="eastAsia"/>
          <w:color w:val="000000" w:themeColor="text1"/>
          <w:sz w:val="24"/>
          <w:szCs w:val="24"/>
          <w:lang w:eastAsia="zh-CN"/>
        </w:rPr>
        <w:t>3</w:t>
      </w:r>
      <w:r>
        <w:rPr>
          <w:rFonts w:hint="eastAsia" w:ascii="Calibri" w:hAnsi="Calibri" w:cs="Times New Roman"/>
          <w:color w:val="000000" w:themeColor="text1"/>
          <w:kern w:val="2"/>
          <w:sz w:val="24"/>
          <w:szCs w:val="24"/>
          <w:lang w:eastAsia="zh-CN"/>
        </w:rPr>
        <w:t>.参选人</w:t>
      </w:r>
      <w:r>
        <w:rPr>
          <w:rStyle w:val="215"/>
          <w:rFonts w:hint="eastAsia"/>
          <w:color w:val="000000"/>
          <w:sz w:val="27"/>
          <w:szCs w:val="27"/>
        </w:rPr>
        <w:t>具有生产销售直径φ≥</w:t>
      </w:r>
      <w:r>
        <w:rPr>
          <w:rStyle w:val="215"/>
          <w:color w:val="000000"/>
          <w:sz w:val="27"/>
          <w:szCs w:val="27"/>
        </w:rPr>
        <w:t>200</w:t>
      </w:r>
      <w:r>
        <w:rPr>
          <w:rStyle w:val="215"/>
          <w:rFonts w:hint="eastAsia"/>
          <w:color w:val="000000"/>
          <w:sz w:val="27"/>
          <w:szCs w:val="27"/>
        </w:rPr>
        <w:t>mm、长度L≥5m泵轴的业绩。</w:t>
      </w:r>
    </w:p>
    <w:p>
      <w:pPr>
        <w:tabs>
          <w:tab w:val="left" w:pos="709"/>
        </w:tabs>
        <w:spacing w:line="600" w:lineRule="exact"/>
        <w:ind w:firstLine="540" w:firstLineChars="200"/>
        <w:jc w:val="both"/>
        <w:rPr>
          <w:rFonts w:ascii="Calibri" w:hAnsi="Calibri" w:cs="Times New Roman"/>
          <w:color w:val="000000" w:themeColor="text1"/>
          <w:kern w:val="2"/>
          <w:sz w:val="24"/>
          <w:szCs w:val="24"/>
          <w:lang w:eastAsia="zh-CN"/>
        </w:rPr>
      </w:pPr>
      <w:r>
        <w:rPr>
          <w:rStyle w:val="215"/>
          <w:rFonts w:hint="eastAsia"/>
          <w:color w:val="000000"/>
          <w:sz w:val="27"/>
          <w:szCs w:val="27"/>
          <w:lang w:val="en-US" w:eastAsia="zh-CN"/>
        </w:rPr>
        <w:t>4.</w:t>
      </w:r>
      <w:r>
        <w:rPr>
          <w:rFonts w:hint="eastAsia" w:ascii="Calibri" w:hAnsi="Calibri" w:cs="Times New Roman"/>
          <w:color w:val="000000" w:themeColor="text1"/>
          <w:kern w:val="2"/>
          <w:sz w:val="24"/>
          <w:szCs w:val="24"/>
          <w:lang w:eastAsia="zh-CN"/>
        </w:rPr>
        <w:t>参选人</w:t>
      </w:r>
      <w:r>
        <w:rPr>
          <w:rStyle w:val="215"/>
          <w:rFonts w:hint="eastAsia"/>
          <w:color w:val="000000"/>
          <w:sz w:val="27"/>
          <w:szCs w:val="27"/>
        </w:rPr>
        <w:t>必须具有符合本文中泵轴加工技术要求的相应设备。</w:t>
      </w:r>
    </w:p>
    <w:p>
      <w:pPr>
        <w:tabs>
          <w:tab w:val="left" w:pos="709"/>
        </w:tabs>
        <w:spacing w:line="600" w:lineRule="exact"/>
        <w:ind w:firstLine="514" w:firstLineChars="200"/>
        <w:jc w:val="both"/>
        <w:rPr>
          <w:b/>
          <w:snapToGrid w:val="0"/>
          <w:color w:val="000000" w:themeColor="text1"/>
          <w:spacing w:val="8"/>
          <w:sz w:val="24"/>
          <w:szCs w:val="24"/>
          <w:lang w:eastAsia="zh-CN"/>
        </w:rPr>
      </w:pPr>
      <w:r>
        <w:rPr>
          <w:rFonts w:hint="eastAsia"/>
          <w:b/>
          <w:snapToGrid w:val="0"/>
          <w:color w:val="000000" w:themeColor="text1"/>
          <w:spacing w:val="8"/>
          <w:sz w:val="24"/>
          <w:szCs w:val="24"/>
          <w:lang w:eastAsia="zh-CN"/>
        </w:rPr>
        <w:t>三、获取比选文件</w:t>
      </w:r>
    </w:p>
    <w:p>
      <w:pPr>
        <w:tabs>
          <w:tab w:val="left" w:pos="709"/>
        </w:tabs>
        <w:spacing w:line="600" w:lineRule="exact"/>
        <w:ind w:firstLine="480" w:firstLineChars="200"/>
        <w:jc w:val="both"/>
        <w:rPr>
          <w:color w:val="000000" w:themeColor="text1"/>
          <w:sz w:val="24"/>
          <w:szCs w:val="24"/>
          <w:lang w:eastAsia="zh-CN"/>
        </w:rPr>
      </w:pPr>
      <w:r>
        <w:rPr>
          <w:rFonts w:hint="eastAsia"/>
          <w:color w:val="000000" w:themeColor="text1"/>
          <w:sz w:val="24"/>
          <w:szCs w:val="24"/>
          <w:lang w:eastAsia="zh-CN"/>
        </w:rPr>
        <w:t>1</w:t>
      </w:r>
      <w:r>
        <w:rPr>
          <w:color w:val="000000" w:themeColor="text1"/>
          <w:sz w:val="24"/>
          <w:szCs w:val="24"/>
          <w:lang w:eastAsia="zh-CN"/>
        </w:rPr>
        <w:t>.</w:t>
      </w:r>
      <w:r>
        <w:rPr>
          <w:rFonts w:hint="eastAsia"/>
          <w:color w:val="000000" w:themeColor="text1"/>
          <w:sz w:val="24"/>
          <w:szCs w:val="24"/>
          <w:lang w:eastAsia="zh-CN"/>
        </w:rPr>
        <w:t>报名时间：2022年</w:t>
      </w:r>
      <w:r>
        <w:rPr>
          <w:rFonts w:hint="eastAsia"/>
          <w:color w:val="000000" w:themeColor="text1"/>
          <w:sz w:val="24"/>
          <w:szCs w:val="24"/>
          <w:lang w:val="en-US" w:eastAsia="zh-CN"/>
        </w:rPr>
        <w:t>12</w:t>
      </w:r>
      <w:r>
        <w:rPr>
          <w:rFonts w:hint="eastAsia"/>
          <w:color w:val="000000" w:themeColor="text1"/>
          <w:sz w:val="24"/>
          <w:szCs w:val="24"/>
          <w:lang w:eastAsia="zh-CN"/>
        </w:rPr>
        <w:t>月</w:t>
      </w:r>
      <w:r>
        <w:rPr>
          <w:rFonts w:hint="eastAsia"/>
          <w:color w:val="000000" w:themeColor="text1"/>
          <w:sz w:val="24"/>
          <w:szCs w:val="24"/>
          <w:lang w:val="en-US" w:eastAsia="zh-CN"/>
        </w:rPr>
        <w:t>30</w:t>
      </w:r>
      <w:r>
        <w:rPr>
          <w:rFonts w:hint="eastAsia"/>
          <w:color w:val="000000" w:themeColor="text1"/>
          <w:sz w:val="24"/>
          <w:szCs w:val="24"/>
          <w:lang w:eastAsia="zh-CN"/>
        </w:rPr>
        <w:t>日至202</w:t>
      </w:r>
      <w:r>
        <w:rPr>
          <w:rFonts w:hint="eastAsia"/>
          <w:color w:val="000000" w:themeColor="text1"/>
          <w:sz w:val="24"/>
          <w:szCs w:val="24"/>
          <w:lang w:val="en-US" w:eastAsia="zh-CN"/>
        </w:rPr>
        <w:t>3</w:t>
      </w:r>
      <w:r>
        <w:rPr>
          <w:rFonts w:hint="eastAsia"/>
          <w:color w:val="000000" w:themeColor="text1"/>
          <w:sz w:val="24"/>
          <w:szCs w:val="24"/>
          <w:lang w:eastAsia="zh-CN"/>
        </w:rPr>
        <w:t>年</w:t>
      </w:r>
      <w:r>
        <w:rPr>
          <w:rFonts w:hint="eastAsia"/>
          <w:color w:val="000000" w:themeColor="text1"/>
          <w:sz w:val="24"/>
          <w:szCs w:val="24"/>
          <w:lang w:val="en-US" w:eastAsia="zh-CN"/>
        </w:rPr>
        <w:t>1</w:t>
      </w:r>
      <w:r>
        <w:rPr>
          <w:rFonts w:hint="eastAsia"/>
          <w:color w:val="000000" w:themeColor="text1"/>
          <w:sz w:val="24"/>
          <w:szCs w:val="24"/>
          <w:lang w:eastAsia="zh-CN"/>
        </w:rPr>
        <w:t>月</w:t>
      </w:r>
      <w:r>
        <w:rPr>
          <w:rFonts w:hint="eastAsia"/>
          <w:color w:val="000000" w:themeColor="text1"/>
          <w:sz w:val="24"/>
          <w:szCs w:val="24"/>
          <w:lang w:val="en-US" w:eastAsia="zh-CN"/>
        </w:rPr>
        <w:t>9</w:t>
      </w:r>
      <w:r>
        <w:rPr>
          <w:rFonts w:hint="eastAsia"/>
          <w:color w:val="000000" w:themeColor="text1"/>
          <w:sz w:val="24"/>
          <w:szCs w:val="24"/>
          <w:lang w:eastAsia="zh-CN"/>
        </w:rPr>
        <w:t>日</w:t>
      </w:r>
      <w:r>
        <w:rPr>
          <w:rFonts w:hint="eastAsia"/>
          <w:color w:val="000000" w:themeColor="text1"/>
          <w:sz w:val="24"/>
          <w:szCs w:val="24"/>
          <w:lang w:val="en-US" w:eastAsia="zh-CN"/>
        </w:rPr>
        <w:t>14：30</w:t>
      </w:r>
      <w:r>
        <w:rPr>
          <w:rFonts w:hint="eastAsia"/>
          <w:color w:val="000000" w:themeColor="text1"/>
          <w:sz w:val="24"/>
          <w:szCs w:val="24"/>
          <w:lang w:eastAsia="zh-CN"/>
        </w:rPr>
        <w:t>（共</w:t>
      </w:r>
      <w:r>
        <w:rPr>
          <w:color w:val="000000" w:themeColor="text1"/>
          <w:sz w:val="24"/>
          <w:szCs w:val="24"/>
          <w:lang w:eastAsia="zh-CN"/>
        </w:rPr>
        <w:t>10</w:t>
      </w:r>
      <w:r>
        <w:rPr>
          <w:rFonts w:hint="eastAsia"/>
          <w:color w:val="000000" w:themeColor="text1"/>
          <w:sz w:val="24"/>
          <w:szCs w:val="24"/>
          <w:lang w:eastAsia="zh-CN"/>
        </w:rPr>
        <w:t>天）。</w:t>
      </w:r>
    </w:p>
    <w:p>
      <w:pPr>
        <w:tabs>
          <w:tab w:val="left" w:pos="709"/>
        </w:tabs>
        <w:spacing w:line="600" w:lineRule="exact"/>
        <w:ind w:firstLine="480" w:firstLineChars="200"/>
        <w:jc w:val="both"/>
        <w:rPr>
          <w:color w:val="000000" w:themeColor="text1"/>
          <w:sz w:val="24"/>
          <w:szCs w:val="24"/>
          <w:lang w:eastAsia="zh-CN"/>
        </w:rPr>
      </w:pPr>
      <w:r>
        <w:rPr>
          <w:rFonts w:hint="eastAsia"/>
          <w:color w:val="000000" w:themeColor="text1"/>
          <w:sz w:val="24"/>
          <w:szCs w:val="24"/>
          <w:lang w:eastAsia="zh-CN"/>
        </w:rPr>
        <w:t>2</w:t>
      </w:r>
      <w:r>
        <w:rPr>
          <w:color w:val="000000" w:themeColor="text1"/>
          <w:sz w:val="24"/>
          <w:szCs w:val="24"/>
          <w:lang w:eastAsia="zh-CN"/>
        </w:rPr>
        <w:t>.</w:t>
      </w:r>
      <w:r>
        <w:rPr>
          <w:rFonts w:hint="eastAsia"/>
          <w:color w:val="000000" w:themeColor="text1"/>
          <w:sz w:val="24"/>
          <w:szCs w:val="24"/>
          <w:lang w:eastAsia="zh-CN"/>
        </w:rPr>
        <w:t>报名方式：参选人在报名时间内将报名文件发送至邮箱xumx@fhcpec.com.cn，报名文件包含：</w:t>
      </w:r>
    </w:p>
    <w:p>
      <w:pPr>
        <w:tabs>
          <w:tab w:val="left" w:pos="709"/>
        </w:tabs>
        <w:spacing w:line="600" w:lineRule="exact"/>
        <w:ind w:firstLine="480" w:firstLineChars="200"/>
        <w:jc w:val="both"/>
        <w:rPr>
          <w:color w:val="000000" w:themeColor="text1"/>
          <w:sz w:val="24"/>
          <w:szCs w:val="24"/>
          <w:lang w:eastAsia="zh-CN"/>
        </w:rPr>
      </w:pPr>
      <w:r>
        <w:rPr>
          <w:rFonts w:hint="eastAsia"/>
          <w:color w:val="000000" w:themeColor="text1"/>
          <w:sz w:val="24"/>
          <w:szCs w:val="24"/>
          <w:lang w:eastAsia="zh-CN"/>
        </w:rPr>
        <w:t>（1）法定代表人身份证复印件（正反面）（加盖单位公章的扫描件）；</w:t>
      </w:r>
    </w:p>
    <w:p>
      <w:pPr>
        <w:tabs>
          <w:tab w:val="left" w:pos="709"/>
        </w:tabs>
        <w:spacing w:line="600" w:lineRule="exact"/>
        <w:ind w:firstLine="480" w:firstLineChars="200"/>
        <w:jc w:val="both"/>
        <w:rPr>
          <w:color w:val="000000" w:themeColor="text1"/>
          <w:sz w:val="24"/>
          <w:szCs w:val="24"/>
          <w:lang w:eastAsia="zh-CN"/>
        </w:rPr>
      </w:pPr>
      <w:r>
        <w:rPr>
          <w:rFonts w:hint="eastAsia"/>
          <w:color w:val="000000" w:themeColor="text1"/>
          <w:sz w:val="24"/>
          <w:szCs w:val="24"/>
          <w:lang w:eastAsia="zh-CN"/>
        </w:rPr>
        <w:t>（2）营业执照（加盖单位公章的扫描件）；</w:t>
      </w:r>
    </w:p>
    <w:p>
      <w:pPr>
        <w:tabs>
          <w:tab w:val="left" w:pos="709"/>
        </w:tabs>
        <w:spacing w:line="600" w:lineRule="exact"/>
        <w:ind w:firstLine="480" w:firstLineChars="200"/>
        <w:jc w:val="both"/>
        <w:rPr>
          <w:color w:val="000000" w:themeColor="text1"/>
          <w:sz w:val="24"/>
          <w:szCs w:val="24"/>
          <w:lang w:eastAsia="zh-CN"/>
        </w:rPr>
      </w:pPr>
      <w:r>
        <w:rPr>
          <w:rFonts w:hint="eastAsia"/>
          <w:color w:val="000000" w:themeColor="text1"/>
          <w:sz w:val="24"/>
          <w:szCs w:val="24"/>
          <w:lang w:eastAsia="zh-CN"/>
        </w:rPr>
        <w:t>（3）资质文件及相关业绩(业绩</w:t>
      </w:r>
      <w:r>
        <w:rPr>
          <w:rFonts w:ascii="Arial" w:hAnsi="Arial" w:cs="Arial"/>
          <w:color w:val="111111"/>
          <w:sz w:val="24"/>
          <w:szCs w:val="24"/>
          <w:shd w:val="clear" w:color="auto" w:fill="FFFFFF"/>
          <w:lang w:eastAsia="zh-CN"/>
        </w:rPr>
        <w:t>要提供相应合同扫描件</w:t>
      </w:r>
      <w:r>
        <w:rPr>
          <w:rFonts w:hint="eastAsia" w:ascii="Arial" w:hAnsi="Arial" w:cs="Arial"/>
          <w:color w:val="111111"/>
          <w:sz w:val="24"/>
          <w:szCs w:val="24"/>
          <w:shd w:val="clear" w:color="auto" w:fill="FFFFFF"/>
          <w:lang w:eastAsia="zh-CN"/>
        </w:rPr>
        <w:t>）</w:t>
      </w:r>
      <w:r>
        <w:rPr>
          <w:rFonts w:hint="eastAsia"/>
          <w:color w:val="000000" w:themeColor="text1"/>
          <w:sz w:val="24"/>
          <w:szCs w:val="24"/>
          <w:lang w:eastAsia="zh-CN"/>
        </w:rPr>
        <w:t>。</w:t>
      </w:r>
    </w:p>
    <w:p>
      <w:pPr>
        <w:tabs>
          <w:tab w:val="left" w:pos="709"/>
        </w:tabs>
        <w:spacing w:line="600" w:lineRule="exact"/>
        <w:ind w:firstLine="480" w:firstLineChars="200"/>
        <w:jc w:val="both"/>
        <w:rPr>
          <w:color w:val="000000" w:themeColor="text1"/>
          <w:sz w:val="24"/>
          <w:szCs w:val="24"/>
          <w:lang w:eastAsia="zh-CN"/>
        </w:rPr>
      </w:pPr>
      <w:r>
        <w:rPr>
          <w:rFonts w:hint="eastAsia"/>
          <w:color w:val="000000" w:themeColor="text1"/>
          <w:sz w:val="24"/>
          <w:szCs w:val="24"/>
          <w:lang w:eastAsia="zh-CN"/>
        </w:rPr>
        <w:t>报名成功后，参选人须与现场技术人员进行前期技术交流，需详细阅读比选项目说明，并按照相关要求提供相关方案。技术交流后经比选人技术人员确认合格并签订技术协议书后，参选人方可参与后续比选，未进行报名和技术交流确认，未签订技术协议书的参选人不能参加比选。技术交流及技术协议签订时间暂定为报名截止后15天内完成。</w:t>
      </w:r>
    </w:p>
    <w:p>
      <w:pPr>
        <w:tabs>
          <w:tab w:val="left" w:pos="709"/>
        </w:tabs>
        <w:spacing w:line="600" w:lineRule="exact"/>
        <w:ind w:firstLine="480" w:firstLineChars="200"/>
        <w:jc w:val="both"/>
        <w:rPr>
          <w:color w:val="000000" w:themeColor="text1"/>
          <w:sz w:val="24"/>
          <w:szCs w:val="24"/>
          <w:lang w:eastAsia="zh-CN"/>
        </w:rPr>
      </w:pPr>
      <w:r>
        <w:rPr>
          <w:rFonts w:hint="eastAsia"/>
          <w:color w:val="000000" w:themeColor="text1"/>
          <w:sz w:val="24"/>
          <w:szCs w:val="24"/>
          <w:lang w:eastAsia="zh-CN"/>
        </w:rPr>
        <w:t>3</w:t>
      </w:r>
      <w:r>
        <w:rPr>
          <w:color w:val="000000" w:themeColor="text1"/>
          <w:sz w:val="24"/>
          <w:szCs w:val="24"/>
          <w:lang w:eastAsia="zh-CN"/>
        </w:rPr>
        <w:t>.</w:t>
      </w:r>
      <w:r>
        <w:rPr>
          <w:rFonts w:hint="eastAsia"/>
          <w:color w:val="000000" w:themeColor="text1"/>
          <w:sz w:val="24"/>
          <w:szCs w:val="24"/>
          <w:lang w:eastAsia="zh-CN"/>
        </w:rPr>
        <w:t>获取比选文件：本项目比选文件请有意向参选人自行下载，不收取费用。（特别声明：未进行登记报名的参选人，其递交的参选文件将被拒收。）</w:t>
      </w:r>
    </w:p>
    <w:p>
      <w:pPr>
        <w:tabs>
          <w:tab w:val="left" w:pos="709"/>
        </w:tabs>
        <w:spacing w:line="600" w:lineRule="exact"/>
        <w:ind w:firstLine="514" w:firstLineChars="200"/>
        <w:jc w:val="both"/>
        <w:rPr>
          <w:b/>
          <w:snapToGrid w:val="0"/>
          <w:color w:val="000000" w:themeColor="text1"/>
          <w:spacing w:val="8"/>
          <w:sz w:val="24"/>
          <w:szCs w:val="24"/>
          <w:lang w:eastAsia="zh-CN"/>
        </w:rPr>
      </w:pPr>
      <w:r>
        <w:rPr>
          <w:rFonts w:hint="eastAsia"/>
          <w:b/>
          <w:snapToGrid w:val="0"/>
          <w:color w:val="000000" w:themeColor="text1"/>
          <w:spacing w:val="8"/>
          <w:sz w:val="24"/>
          <w:szCs w:val="24"/>
          <w:lang w:eastAsia="zh-CN"/>
        </w:rPr>
        <w:t>四、参选文件递交要求</w:t>
      </w:r>
    </w:p>
    <w:p>
      <w:pPr>
        <w:tabs>
          <w:tab w:val="left" w:pos="709"/>
        </w:tabs>
        <w:spacing w:line="600" w:lineRule="exact"/>
        <w:ind w:firstLine="480" w:firstLineChars="200"/>
        <w:jc w:val="both"/>
        <w:rPr>
          <w:color w:val="000000" w:themeColor="text1"/>
          <w:sz w:val="24"/>
          <w:szCs w:val="24"/>
          <w:lang w:eastAsia="zh-CN"/>
        </w:rPr>
      </w:pPr>
      <w:r>
        <w:rPr>
          <w:rFonts w:hint="eastAsia"/>
          <w:color w:val="000000" w:themeColor="text1"/>
          <w:sz w:val="24"/>
          <w:szCs w:val="24"/>
          <w:lang w:eastAsia="zh-CN"/>
        </w:rPr>
        <w:t>1</w:t>
      </w:r>
      <w:r>
        <w:rPr>
          <w:color w:val="000000" w:themeColor="text1"/>
          <w:sz w:val="24"/>
          <w:szCs w:val="24"/>
          <w:lang w:eastAsia="zh-CN"/>
        </w:rPr>
        <w:t>.</w:t>
      </w:r>
      <w:r>
        <w:rPr>
          <w:rFonts w:hint="eastAsia"/>
          <w:color w:val="000000" w:themeColor="text1"/>
          <w:sz w:val="24"/>
          <w:szCs w:val="24"/>
          <w:lang w:eastAsia="zh-CN"/>
        </w:rPr>
        <w:t xml:space="preserve"> 参选文件递交地点：漳州市漳浦县杜浔镇杜昌路9号，福海创办公楼三楼设备及服务团队，收件人：徐明兴  电话： 13779967252。</w:t>
      </w:r>
    </w:p>
    <w:p>
      <w:pPr>
        <w:tabs>
          <w:tab w:val="left" w:pos="709"/>
        </w:tabs>
        <w:spacing w:line="600" w:lineRule="exact"/>
        <w:ind w:firstLine="480" w:firstLineChars="200"/>
        <w:jc w:val="both"/>
        <w:rPr>
          <w:color w:val="000000" w:themeColor="text1"/>
          <w:sz w:val="24"/>
          <w:szCs w:val="24"/>
          <w:lang w:eastAsia="zh-CN"/>
        </w:rPr>
      </w:pPr>
      <w:r>
        <w:rPr>
          <w:rFonts w:hint="eastAsia"/>
          <w:color w:val="000000" w:themeColor="text1"/>
          <w:sz w:val="24"/>
          <w:szCs w:val="24"/>
          <w:lang w:eastAsia="zh-CN"/>
        </w:rPr>
        <w:t>2</w:t>
      </w:r>
      <w:r>
        <w:rPr>
          <w:color w:val="000000" w:themeColor="text1"/>
          <w:sz w:val="24"/>
          <w:szCs w:val="24"/>
          <w:lang w:eastAsia="zh-CN"/>
        </w:rPr>
        <w:t>.</w:t>
      </w:r>
      <w:r>
        <w:rPr>
          <w:rFonts w:hint="eastAsia"/>
          <w:color w:val="000000" w:themeColor="text1"/>
          <w:sz w:val="24"/>
          <w:szCs w:val="24"/>
          <w:lang w:eastAsia="zh-CN"/>
        </w:rPr>
        <w:t xml:space="preserve"> 参选文件递交截止时间（以送达时间为准）：根据技术交流情况，技术合格单位后续统一通知报价。</w:t>
      </w:r>
    </w:p>
    <w:p>
      <w:pPr>
        <w:pStyle w:val="20"/>
        <w:spacing w:line="600" w:lineRule="exact"/>
        <w:ind w:firstLine="514" w:firstLineChars="200"/>
        <w:jc w:val="both"/>
        <w:rPr>
          <w:b/>
          <w:w w:val="95"/>
          <w:sz w:val="28"/>
          <w:lang w:eastAsia="zh-CN"/>
        </w:rPr>
      </w:pPr>
      <w:r>
        <w:rPr>
          <w:rFonts w:hint="eastAsia"/>
          <w:b/>
          <w:bCs/>
          <w:snapToGrid w:val="0"/>
          <w:color w:val="000000" w:themeColor="text1"/>
          <w:spacing w:val="8"/>
          <w:lang w:eastAsia="zh-CN"/>
        </w:rPr>
        <w:t>五</w:t>
      </w:r>
      <w:r>
        <w:rPr>
          <w:b/>
          <w:w w:val="95"/>
          <w:sz w:val="28"/>
          <w:lang w:eastAsia="zh-CN"/>
        </w:rPr>
        <w:t>、参选保证金</w:t>
      </w:r>
    </w:p>
    <w:p>
      <w:pPr>
        <w:pStyle w:val="20"/>
        <w:spacing w:line="600" w:lineRule="exact"/>
        <w:ind w:firstLine="480" w:firstLineChars="200"/>
        <w:jc w:val="both"/>
        <w:rPr>
          <w:lang w:eastAsia="zh-CN"/>
        </w:rPr>
      </w:pPr>
      <w:r>
        <w:rPr>
          <w:rFonts w:hint="eastAsia"/>
          <w:lang w:eastAsia="zh-CN"/>
        </w:rPr>
        <w:t>本项目不适用参选保证金，但参选人未能按接到中标通知书后规定的时间内签定合同或中选不执行等未履约事宜，比选人将把参选人纳入比选人的黑名单，以后不得参与比选人的公开招投标和公开比选等一切采购项目。</w:t>
      </w:r>
    </w:p>
    <w:p>
      <w:pPr>
        <w:spacing w:line="600" w:lineRule="exact"/>
        <w:ind w:firstLine="514" w:firstLineChars="200"/>
        <w:jc w:val="both"/>
        <w:rPr>
          <w:rFonts w:hint="eastAsia"/>
          <w:sz w:val="24"/>
          <w:szCs w:val="24"/>
          <w:lang w:eastAsia="zh-CN"/>
        </w:rPr>
      </w:pPr>
      <w:r>
        <w:rPr>
          <w:rFonts w:hint="eastAsia"/>
          <w:b/>
          <w:bCs/>
          <w:snapToGrid w:val="0"/>
          <w:color w:val="000000" w:themeColor="text1"/>
          <w:spacing w:val="8"/>
          <w:sz w:val="24"/>
          <w:szCs w:val="24"/>
          <w:lang w:eastAsia="zh-CN"/>
        </w:rPr>
        <w:t>六、联系方式</w:t>
      </w:r>
      <w:r>
        <w:rPr>
          <w:rFonts w:hint="eastAsia"/>
          <w:sz w:val="24"/>
          <w:szCs w:val="24"/>
          <w:lang w:eastAsia="zh-CN"/>
        </w:rPr>
        <w:t xml:space="preserve"> </w:t>
      </w:r>
    </w:p>
    <w:p>
      <w:pPr>
        <w:tabs>
          <w:tab w:val="left" w:pos="709"/>
        </w:tabs>
        <w:ind w:firstLine="480" w:firstLineChars="200"/>
        <w:rPr>
          <w:rFonts w:hint="default"/>
          <w:lang w:val="en-US" w:eastAsia="zh-CN"/>
        </w:rPr>
      </w:pPr>
      <w:r>
        <w:rPr>
          <w:rFonts w:hint="eastAsia"/>
          <w:color w:val="000000" w:themeColor="text1"/>
          <w:sz w:val="24"/>
          <w:szCs w:val="24"/>
          <w:lang w:eastAsia="zh-CN"/>
        </w:rPr>
        <w:t>技术联系人：</w:t>
      </w:r>
      <w:r>
        <w:rPr>
          <w:rFonts w:hint="eastAsia" w:ascii="宋体" w:hAnsi="宋体" w:eastAsia="宋体" w:cs="宋体"/>
          <w:b w:val="0"/>
          <w:bCs w:val="0"/>
          <w:color w:val="000000" w:themeColor="text1"/>
          <w:kern w:val="0"/>
          <w:sz w:val="24"/>
          <w:szCs w:val="24"/>
          <w:lang w:val="en-US" w:eastAsia="zh-CN" w:bidi="ar"/>
        </w:rPr>
        <w:fldChar w:fldCharType="begin"/>
      </w:r>
      <w:r>
        <w:rPr>
          <w:rFonts w:hint="eastAsia" w:ascii="宋体" w:hAnsi="宋体" w:eastAsia="宋体" w:cs="宋体"/>
          <w:b w:val="0"/>
          <w:bCs w:val="0"/>
          <w:color w:val="000000" w:themeColor="text1"/>
          <w:kern w:val="0"/>
          <w:sz w:val="24"/>
          <w:szCs w:val="24"/>
          <w:lang w:val="en-US" w:eastAsia="zh-CN" w:bidi="ar"/>
        </w:rPr>
        <w:instrText xml:space="preserve"> HYPERLINK "javascript:showV3XMemberCard('7723101320394918224',window)" \o "舒京辉" </w:instrText>
      </w:r>
      <w:r>
        <w:rPr>
          <w:rFonts w:hint="eastAsia" w:ascii="宋体" w:hAnsi="宋体" w:eastAsia="宋体" w:cs="宋体"/>
          <w:b w:val="0"/>
          <w:bCs w:val="0"/>
          <w:color w:val="000000" w:themeColor="text1"/>
          <w:kern w:val="0"/>
          <w:sz w:val="24"/>
          <w:szCs w:val="24"/>
          <w:lang w:val="en-US" w:eastAsia="zh-CN" w:bidi="ar"/>
        </w:rPr>
        <w:fldChar w:fldCharType="separate"/>
      </w:r>
      <w:r>
        <w:rPr>
          <w:rFonts w:hint="eastAsia" w:ascii="宋体" w:hAnsi="宋体" w:eastAsia="宋体" w:cs="宋体"/>
          <w:b w:val="0"/>
          <w:bCs w:val="0"/>
          <w:color w:val="000000" w:themeColor="text1"/>
          <w:kern w:val="0"/>
          <w:sz w:val="24"/>
          <w:szCs w:val="24"/>
          <w:lang w:val="en-US" w:eastAsia="zh-CN" w:bidi="ar"/>
        </w:rPr>
        <w:t>舒京辉</w:t>
      </w:r>
      <w:r>
        <w:rPr>
          <w:rFonts w:hint="eastAsia" w:ascii="宋体" w:hAnsi="宋体" w:eastAsia="宋体" w:cs="宋体"/>
          <w:b w:val="0"/>
          <w:bCs w:val="0"/>
          <w:color w:val="000000" w:themeColor="text1"/>
          <w:kern w:val="0"/>
          <w:sz w:val="24"/>
          <w:szCs w:val="24"/>
          <w:lang w:val="en-US" w:eastAsia="zh-CN" w:bidi="ar"/>
        </w:rPr>
        <w:fldChar w:fldCharType="end"/>
      </w:r>
      <w:r>
        <w:rPr>
          <w:rFonts w:hint="eastAsia" w:cs="宋体"/>
          <w:b w:val="0"/>
          <w:bCs w:val="0"/>
          <w:color w:val="000000" w:themeColor="text1"/>
          <w:kern w:val="0"/>
          <w:sz w:val="24"/>
          <w:szCs w:val="24"/>
          <w:lang w:val="en-US" w:eastAsia="zh-CN" w:bidi="ar"/>
        </w:rPr>
        <w:t xml:space="preserve"> </w:t>
      </w:r>
      <w:r>
        <w:rPr>
          <w:rFonts w:hint="eastAsia" w:ascii="宋体" w:hAnsi="宋体" w:eastAsia="宋体" w:cs="宋体"/>
          <w:b w:val="0"/>
          <w:bCs w:val="0"/>
          <w:color w:val="000000" w:themeColor="text1"/>
          <w:kern w:val="0"/>
          <w:sz w:val="24"/>
          <w:szCs w:val="24"/>
          <w:lang w:val="en-US" w:eastAsia="zh-CN" w:bidi="ar"/>
        </w:rPr>
        <w:t xml:space="preserve">18060283979 </w:t>
      </w:r>
      <w:r>
        <w:rPr>
          <w:rFonts w:hint="eastAsia" w:cs="宋体"/>
          <w:b w:val="0"/>
          <w:bCs w:val="0"/>
          <w:color w:val="000000" w:themeColor="text1"/>
          <w:kern w:val="0"/>
          <w:sz w:val="24"/>
          <w:szCs w:val="24"/>
          <w:lang w:val="en-US" w:eastAsia="zh-CN" w:bidi="ar"/>
        </w:rPr>
        <w:t xml:space="preserve"> </w:t>
      </w:r>
      <w:r>
        <w:rPr>
          <w:rFonts w:hint="eastAsia" w:ascii="宋体" w:hAnsi="宋体" w:eastAsia="宋体" w:cs="宋体"/>
          <w:b w:val="0"/>
          <w:bCs w:val="0"/>
          <w:color w:val="000000" w:themeColor="text1"/>
          <w:kern w:val="0"/>
          <w:sz w:val="24"/>
          <w:szCs w:val="24"/>
          <w:lang w:val="en-US" w:eastAsia="zh-CN" w:bidi="ar"/>
        </w:rPr>
        <w:t xml:space="preserve">yang2006sjh@126.com </w:t>
      </w:r>
      <w:bookmarkStart w:id="0" w:name="_GoBack"/>
      <w:bookmarkEnd w:id="0"/>
    </w:p>
    <w:p>
      <w:pPr>
        <w:tabs>
          <w:tab w:val="left" w:pos="709"/>
        </w:tabs>
        <w:spacing w:line="600" w:lineRule="exact"/>
        <w:ind w:firstLine="480" w:firstLineChars="200"/>
        <w:jc w:val="both"/>
        <w:rPr>
          <w:color w:val="000000" w:themeColor="text1"/>
          <w:sz w:val="24"/>
          <w:szCs w:val="24"/>
          <w:lang w:eastAsia="zh-CN"/>
        </w:rPr>
      </w:pPr>
      <w:r>
        <w:rPr>
          <w:rFonts w:hint="eastAsia"/>
          <w:color w:val="000000" w:themeColor="text1"/>
          <w:sz w:val="24"/>
          <w:szCs w:val="24"/>
          <w:lang w:eastAsia="zh-CN"/>
        </w:rPr>
        <w:t>商务联系人：徐明兴 电话：13779967252 邮箱：xumx@fhcpec.com.cn</w:t>
      </w:r>
    </w:p>
    <w:p>
      <w:pPr>
        <w:tabs>
          <w:tab w:val="left" w:pos="709"/>
        </w:tabs>
        <w:spacing w:line="600" w:lineRule="exact"/>
        <w:ind w:firstLine="480" w:firstLineChars="200"/>
        <w:jc w:val="both"/>
        <w:rPr>
          <w:color w:val="000000" w:themeColor="text1"/>
          <w:sz w:val="24"/>
          <w:szCs w:val="24"/>
          <w:lang w:eastAsia="zh-CN"/>
        </w:rPr>
      </w:pPr>
      <w:r>
        <w:rPr>
          <w:rFonts w:hint="eastAsia"/>
          <w:color w:val="000000" w:themeColor="text1"/>
          <w:sz w:val="24"/>
          <w:szCs w:val="24"/>
          <w:lang w:eastAsia="zh-CN"/>
        </w:rPr>
        <w:t xml:space="preserve">纪检监察室电话：0596-6311774  </w:t>
      </w:r>
    </w:p>
    <w:p>
      <w:pPr>
        <w:tabs>
          <w:tab w:val="left" w:pos="709"/>
        </w:tabs>
        <w:spacing w:line="600" w:lineRule="exact"/>
        <w:ind w:firstLine="480" w:firstLineChars="200"/>
        <w:jc w:val="both"/>
        <w:rPr>
          <w:color w:val="000000" w:themeColor="text1"/>
          <w:sz w:val="24"/>
          <w:szCs w:val="24"/>
          <w:lang w:eastAsia="zh-CN"/>
        </w:rPr>
      </w:pPr>
      <w:r>
        <w:rPr>
          <w:rFonts w:hint="eastAsia"/>
          <w:color w:val="000000" w:themeColor="text1"/>
          <w:sz w:val="24"/>
          <w:szCs w:val="24"/>
          <w:lang w:eastAsia="zh-CN"/>
        </w:rPr>
        <w:t>联系地址：漳州市漳浦县杜浔镇杜昌路9号</w:t>
      </w:r>
    </w:p>
    <w:p>
      <w:pPr>
        <w:tabs>
          <w:tab w:val="left" w:pos="709"/>
        </w:tabs>
        <w:spacing w:line="600" w:lineRule="exact"/>
        <w:ind w:firstLine="480" w:firstLineChars="200"/>
        <w:jc w:val="both"/>
        <w:rPr>
          <w:sz w:val="24"/>
          <w:szCs w:val="24"/>
          <w:lang w:eastAsia="zh-CN"/>
        </w:rPr>
      </w:pPr>
      <w:r>
        <w:rPr>
          <w:rFonts w:hint="eastAsia"/>
          <w:color w:val="000000" w:themeColor="text1"/>
          <w:sz w:val="24"/>
          <w:szCs w:val="24"/>
          <w:lang w:eastAsia="zh-CN"/>
        </w:rPr>
        <w:t>邮    编：363216</w:t>
      </w:r>
    </w:p>
    <w:p>
      <w:pPr>
        <w:spacing w:line="600" w:lineRule="exact"/>
        <w:ind w:firstLine="480" w:firstLineChars="200"/>
        <w:jc w:val="both"/>
        <w:rPr>
          <w:sz w:val="24"/>
          <w:szCs w:val="24"/>
          <w:lang w:eastAsia="zh-CN"/>
        </w:rPr>
      </w:pPr>
      <w:r>
        <w:rPr>
          <w:rFonts w:hint="eastAsia"/>
          <w:sz w:val="24"/>
          <w:szCs w:val="24"/>
          <w:lang w:eastAsia="zh-CN"/>
        </w:rPr>
        <w:t xml:space="preserve">                                           福建福海创石油化工有限公司 </w:t>
      </w:r>
    </w:p>
    <w:p>
      <w:pPr>
        <w:spacing w:line="600" w:lineRule="exact"/>
        <w:ind w:firstLine="480" w:firstLineChars="200"/>
        <w:jc w:val="both"/>
        <w:rPr>
          <w:color w:val="000000" w:themeColor="text1"/>
          <w:sz w:val="24"/>
          <w:szCs w:val="24"/>
          <w:lang w:eastAsia="zh-CN"/>
        </w:rPr>
      </w:pPr>
      <w:r>
        <w:rPr>
          <w:rFonts w:hint="eastAsia"/>
          <w:sz w:val="24"/>
          <w:szCs w:val="24"/>
          <w:lang w:eastAsia="zh-CN"/>
        </w:rPr>
        <w:t xml:space="preserve">                                                </w:t>
      </w:r>
      <w:r>
        <w:rPr>
          <w:rFonts w:hint="eastAsia"/>
          <w:color w:val="000000" w:themeColor="text1"/>
          <w:sz w:val="24"/>
          <w:szCs w:val="24"/>
          <w:lang w:eastAsia="zh-CN"/>
        </w:rPr>
        <w:t xml:space="preserve">  </w:t>
      </w:r>
      <w:r>
        <w:rPr>
          <w:color w:val="000000" w:themeColor="text1"/>
          <w:sz w:val="24"/>
          <w:szCs w:val="24"/>
          <w:lang w:eastAsia="zh-CN"/>
        </w:rPr>
        <w:t>202</w:t>
      </w:r>
      <w:r>
        <w:rPr>
          <w:rFonts w:hint="eastAsia"/>
          <w:color w:val="000000" w:themeColor="text1"/>
          <w:sz w:val="24"/>
          <w:szCs w:val="24"/>
          <w:lang w:eastAsia="zh-CN"/>
        </w:rPr>
        <w:t>2年</w:t>
      </w:r>
      <w:r>
        <w:rPr>
          <w:rFonts w:hint="eastAsia"/>
          <w:color w:val="000000" w:themeColor="text1"/>
          <w:sz w:val="24"/>
          <w:szCs w:val="24"/>
          <w:lang w:val="en-US" w:eastAsia="zh-CN"/>
        </w:rPr>
        <w:t>12</w:t>
      </w:r>
      <w:r>
        <w:rPr>
          <w:rFonts w:hint="eastAsia"/>
          <w:color w:val="000000" w:themeColor="text1"/>
          <w:sz w:val="24"/>
          <w:szCs w:val="24"/>
          <w:lang w:eastAsia="zh-CN"/>
        </w:rPr>
        <w:t>月</w:t>
      </w:r>
      <w:r>
        <w:rPr>
          <w:rFonts w:hint="eastAsia"/>
          <w:color w:val="000000" w:themeColor="text1"/>
          <w:sz w:val="24"/>
          <w:szCs w:val="24"/>
          <w:lang w:val="en-US" w:eastAsia="zh-CN"/>
        </w:rPr>
        <w:t>29</w:t>
      </w:r>
      <w:r>
        <w:rPr>
          <w:rFonts w:hint="eastAsia"/>
          <w:color w:val="000000" w:themeColor="text1"/>
          <w:sz w:val="24"/>
          <w:szCs w:val="24"/>
          <w:lang w:eastAsia="zh-CN"/>
        </w:rPr>
        <w:t>日</w:t>
      </w:r>
    </w:p>
    <w:p>
      <w:pPr>
        <w:pStyle w:val="2"/>
        <w:spacing w:line="600" w:lineRule="exact"/>
        <w:ind w:firstLine="680" w:firstLineChars="200"/>
        <w:sectPr>
          <w:footerReference r:id="rId3" w:type="default"/>
          <w:pgSz w:w="11910" w:h="16840"/>
          <w:pgMar w:top="1500" w:right="1020" w:bottom="740" w:left="1300" w:header="0" w:footer="551" w:gutter="0"/>
          <w:cols w:space="720" w:num="1"/>
        </w:sectPr>
      </w:pPr>
    </w:p>
    <w:p>
      <w:pPr>
        <w:pStyle w:val="3"/>
        <w:tabs>
          <w:tab w:val="left" w:pos="1488"/>
        </w:tabs>
        <w:spacing w:line="355" w:lineRule="exact"/>
        <w:ind w:left="0" w:firstLine="3654" w:firstLineChars="1300"/>
        <w:jc w:val="both"/>
        <w:rPr>
          <w:lang w:eastAsia="zh-CN"/>
        </w:rPr>
      </w:pPr>
      <w:r>
        <w:rPr>
          <w:lang w:eastAsia="zh-CN"/>
        </w:rPr>
        <w:tab/>
      </w:r>
      <w:r>
        <w:rPr>
          <w:spacing w:val="-1"/>
          <w:w w:val="95"/>
          <w:lang w:eastAsia="zh-CN"/>
        </w:rPr>
        <w:t>评比规</w:t>
      </w:r>
      <w:r>
        <w:rPr>
          <w:w w:val="95"/>
          <w:lang w:eastAsia="zh-CN"/>
        </w:rPr>
        <w:t>则</w:t>
      </w:r>
    </w:p>
    <w:p>
      <w:pPr>
        <w:spacing w:before="15" w:line="360" w:lineRule="auto"/>
        <w:ind w:firstLine="401" w:firstLineChars="150"/>
        <w:rPr>
          <w:b/>
          <w:w w:val="95"/>
          <w:sz w:val="28"/>
          <w:lang w:eastAsia="zh-CN"/>
        </w:rPr>
      </w:pPr>
      <w:r>
        <w:rPr>
          <w:b/>
          <w:w w:val="95"/>
          <w:sz w:val="28"/>
          <w:lang w:eastAsia="zh-CN"/>
        </w:rPr>
        <w:t>一、规则</w:t>
      </w:r>
    </w:p>
    <w:p>
      <w:pPr>
        <w:pStyle w:val="20"/>
        <w:spacing w:line="360" w:lineRule="auto"/>
        <w:ind w:right="121" w:firstLine="480" w:firstLineChars="200"/>
        <w:jc w:val="both"/>
        <w:rPr>
          <w:lang w:eastAsia="zh-CN"/>
        </w:rPr>
      </w:pPr>
      <w:r>
        <w:rPr>
          <w:lang w:eastAsia="zh-CN"/>
        </w:rPr>
        <w:t>1.比选人在评选时，将</w:t>
      </w:r>
      <w:r>
        <w:rPr>
          <w:rFonts w:hint="eastAsia"/>
          <w:lang w:eastAsia="zh-CN"/>
        </w:rPr>
        <w:t>优先对技术参选文件进行评选，技术参选文件符合业主要求方可进行下一轮商务报价评选。</w:t>
      </w:r>
    </w:p>
    <w:p>
      <w:pPr>
        <w:pStyle w:val="20"/>
        <w:spacing w:line="360" w:lineRule="auto"/>
        <w:ind w:right="121" w:firstLine="480" w:firstLineChars="200"/>
        <w:jc w:val="both"/>
        <w:rPr>
          <w:lang w:eastAsia="zh-CN"/>
        </w:rPr>
      </w:pPr>
      <w:r>
        <w:rPr>
          <w:lang w:eastAsia="zh-CN"/>
        </w:rPr>
        <w:t>2.参选人串选、相互勾结故意压低标价以排挤竞争对手的公平竞争的，其参选无效。</w:t>
      </w:r>
    </w:p>
    <w:p>
      <w:pPr>
        <w:pStyle w:val="20"/>
        <w:spacing w:line="360" w:lineRule="auto"/>
        <w:ind w:right="121" w:firstLine="480" w:firstLineChars="200"/>
        <w:jc w:val="both"/>
        <w:rPr>
          <w:lang w:eastAsia="zh-CN"/>
        </w:rPr>
      </w:pPr>
      <w:r>
        <w:rPr>
          <w:lang w:eastAsia="zh-CN"/>
        </w:rPr>
        <w:t>3.替补候选人的设定与使用：在合同签订前，比选单位发现参选人的参选报价或供货范围有缺漏、实际应标产品或服务存在重大偏差、或参选材料存在欺诈行为时、或参选人因不可抗力或自身原因不能履行合同的，将有理由取消中选人资格，保留依法追究的权利；并将依法确定排名第二名的中选候选人为本项目的中选人。</w:t>
      </w:r>
    </w:p>
    <w:p>
      <w:pPr>
        <w:spacing w:before="15" w:line="360" w:lineRule="auto"/>
        <w:ind w:firstLine="534" w:firstLineChars="200"/>
        <w:rPr>
          <w:b/>
          <w:w w:val="95"/>
          <w:sz w:val="28"/>
          <w:lang w:eastAsia="zh-CN"/>
        </w:rPr>
      </w:pPr>
      <w:r>
        <w:rPr>
          <w:b/>
          <w:w w:val="95"/>
          <w:sz w:val="28"/>
          <w:lang w:eastAsia="zh-CN"/>
        </w:rPr>
        <w:t>二、资格审查</w:t>
      </w:r>
    </w:p>
    <w:p>
      <w:pPr>
        <w:pStyle w:val="20"/>
        <w:spacing w:line="360" w:lineRule="auto"/>
        <w:ind w:right="121" w:firstLine="480" w:firstLineChars="200"/>
        <w:jc w:val="both"/>
        <w:rPr>
          <w:lang w:eastAsia="zh-CN"/>
        </w:rPr>
      </w:pPr>
      <w:r>
        <w:rPr>
          <w:lang w:eastAsia="zh-CN"/>
        </w:rPr>
        <w:t>由比选人依法组建的评选委员会将按照第二章比选须知第六点“参选人资格”的要求对参选人进行资格审查，以确定是否为符合比选文件规定要求的合格参选人，同时，评选委员会将依据参选人提供的资格证明文件审查参选人的法人资格、营业范围、财务，以确定参选人是否有资格履行合同。经上述资格审查合格的参选人进入下一程序的评审，经上述资格审查不合格的参选文件，其参选资格将被评选委员会予以否决。</w:t>
      </w:r>
    </w:p>
    <w:p>
      <w:pPr>
        <w:spacing w:before="15" w:line="360" w:lineRule="auto"/>
        <w:ind w:firstLine="534" w:firstLineChars="200"/>
        <w:rPr>
          <w:b/>
          <w:w w:val="95"/>
          <w:sz w:val="28"/>
          <w:lang w:eastAsia="zh-CN"/>
        </w:rPr>
      </w:pPr>
      <w:r>
        <w:rPr>
          <w:b/>
          <w:w w:val="95"/>
          <w:sz w:val="28"/>
          <w:lang w:eastAsia="zh-CN"/>
        </w:rPr>
        <w:t>三、评选办法</w:t>
      </w:r>
    </w:p>
    <w:p>
      <w:pPr>
        <w:pStyle w:val="20"/>
        <w:spacing w:line="360" w:lineRule="auto"/>
        <w:ind w:right="121" w:firstLine="482" w:firstLineChars="200"/>
        <w:jc w:val="both"/>
        <w:rPr>
          <w:lang w:eastAsia="zh-CN"/>
        </w:rPr>
      </w:pPr>
      <w:r>
        <w:rPr>
          <w:rFonts w:hint="eastAsia"/>
          <w:b/>
          <w:color w:val="FF0000"/>
          <w:lang w:eastAsia="zh-CN"/>
        </w:rPr>
        <w:t>本项目设置最高控制价</w:t>
      </w:r>
      <w:r>
        <w:rPr>
          <w:rFonts w:hint="eastAsia"/>
          <w:b/>
          <w:color w:val="FF0000"/>
          <w:lang w:val="en-US" w:eastAsia="zh-CN"/>
        </w:rPr>
        <w:t>31.64</w:t>
      </w:r>
      <w:r>
        <w:rPr>
          <w:rFonts w:hint="eastAsia"/>
          <w:b/>
          <w:color w:val="FF0000"/>
          <w:lang w:eastAsia="zh-CN"/>
        </w:rPr>
        <w:t>万元整（含税</w:t>
      </w:r>
      <w:r>
        <w:rPr>
          <w:rFonts w:hint="eastAsia"/>
          <w:b/>
          <w:color w:val="FF0000"/>
          <w:lang w:val="en-US" w:eastAsia="zh-CN"/>
        </w:rPr>
        <w:t>13%</w:t>
      </w:r>
      <w:r>
        <w:rPr>
          <w:rFonts w:hint="eastAsia"/>
          <w:b/>
          <w:color w:val="FF0000"/>
          <w:lang w:eastAsia="zh-CN"/>
        </w:rPr>
        <w:t>包干总价）</w:t>
      </w:r>
      <w:r>
        <w:rPr>
          <w:rFonts w:hint="eastAsia"/>
          <w:lang w:eastAsia="zh-CN"/>
        </w:rPr>
        <w:t>。参选人所填报的报价高于本项目最高限价的，其参选比选小组</w:t>
      </w:r>
      <w:r>
        <w:rPr>
          <w:rFonts w:hint="eastAsia"/>
          <w:lang w:val="en-US" w:eastAsia="zh-CN"/>
        </w:rPr>
        <w:t>有权给</w:t>
      </w:r>
      <w:r>
        <w:rPr>
          <w:rFonts w:hint="eastAsia"/>
          <w:lang w:eastAsia="zh-CN"/>
        </w:rPr>
        <w:t>予以否决。</w:t>
      </w:r>
      <w:r>
        <w:fldChar w:fldCharType="begin"/>
      </w:r>
      <w:r>
        <w:instrText xml:space="preserve"> HYPERLINK "mailto:如参选人对控制价存疑请于报价截止前发邮件至xqyang@fhcpec.com.cn" </w:instrText>
      </w:r>
      <w:r>
        <w:fldChar w:fldCharType="separate"/>
      </w:r>
      <w:r>
        <w:rPr>
          <w:rStyle w:val="54"/>
          <w:rFonts w:hint="eastAsia"/>
          <w:lang w:eastAsia="zh-CN"/>
        </w:rPr>
        <w:t>如参选人对控制价存疑请于报价截止前发邮件至xumx@fhcpec.com.cn</w:t>
      </w:r>
      <w:r>
        <w:rPr>
          <w:rStyle w:val="54"/>
          <w:rFonts w:hint="eastAsia"/>
          <w:lang w:eastAsia="zh-CN"/>
        </w:rPr>
        <w:fldChar w:fldCharType="end"/>
      </w:r>
      <w:r>
        <w:rPr>
          <w:rFonts w:hint="eastAsia"/>
          <w:lang w:eastAsia="zh-CN"/>
        </w:rPr>
        <w:t>。</w:t>
      </w:r>
    </w:p>
    <w:p>
      <w:pPr>
        <w:spacing w:before="15" w:line="360" w:lineRule="auto"/>
        <w:ind w:firstLine="480" w:firstLineChars="200"/>
        <w:rPr>
          <w:color w:val="000000"/>
          <w:sz w:val="24"/>
          <w:szCs w:val="24"/>
          <w:shd w:val="clear" w:color="auto" w:fill="FFFFFF"/>
          <w:lang w:eastAsia="zh-CN"/>
        </w:rPr>
      </w:pPr>
      <w:r>
        <w:rPr>
          <w:rFonts w:hint="eastAsia"/>
          <w:color w:val="000000"/>
          <w:sz w:val="24"/>
          <w:szCs w:val="24"/>
          <w:shd w:val="clear" w:color="auto" w:fill="FFFFFF"/>
          <w:lang w:eastAsia="zh-CN"/>
        </w:rPr>
        <w:t>采用商务报价决标评选的方式，从价格和付款方式两方面进行评选，满足</w:t>
      </w:r>
    </w:p>
    <w:p>
      <w:pPr>
        <w:spacing w:before="15" w:line="360" w:lineRule="auto"/>
        <w:ind w:firstLine="480" w:firstLineChars="200"/>
        <w:rPr>
          <w:color w:val="000000"/>
          <w:sz w:val="24"/>
          <w:szCs w:val="24"/>
          <w:shd w:val="clear" w:color="auto" w:fill="FFFFFF"/>
          <w:lang w:eastAsia="zh-CN"/>
        </w:rPr>
      </w:pPr>
      <w:r>
        <w:rPr>
          <w:rFonts w:hint="eastAsia"/>
          <w:color w:val="000000"/>
          <w:sz w:val="24"/>
          <w:szCs w:val="24"/>
          <w:shd w:val="clear" w:color="auto" w:fill="FFFFFF"/>
          <w:lang w:eastAsia="zh-CN"/>
        </w:rPr>
        <w:t>（1）付款条件：货到验收合格付90%，留10%质保；</w:t>
      </w:r>
    </w:p>
    <w:p>
      <w:pPr>
        <w:spacing w:before="15" w:line="360" w:lineRule="auto"/>
        <w:ind w:firstLine="480" w:firstLineChars="200"/>
        <w:rPr>
          <w:color w:val="000000"/>
          <w:sz w:val="24"/>
          <w:szCs w:val="24"/>
          <w:shd w:val="clear" w:color="auto" w:fill="FFFFFF"/>
          <w:lang w:eastAsia="zh-CN"/>
        </w:rPr>
      </w:pPr>
      <w:r>
        <w:rPr>
          <w:rFonts w:hint="eastAsia"/>
          <w:color w:val="000000"/>
          <w:sz w:val="24"/>
          <w:szCs w:val="24"/>
          <w:shd w:val="clear" w:color="auto" w:fill="FFFFFF"/>
          <w:lang w:eastAsia="zh-CN"/>
        </w:rPr>
        <w:t>（2）未税总价最低者作为第一中选人，以此类推。</w:t>
      </w:r>
    </w:p>
    <w:p>
      <w:pPr>
        <w:spacing w:before="15" w:line="360" w:lineRule="auto"/>
        <w:ind w:firstLine="534" w:firstLineChars="200"/>
        <w:rPr>
          <w:b/>
          <w:w w:val="95"/>
          <w:sz w:val="28"/>
          <w:lang w:eastAsia="zh-CN"/>
        </w:rPr>
      </w:pPr>
      <w:r>
        <w:rPr>
          <w:b/>
          <w:w w:val="95"/>
          <w:sz w:val="28"/>
          <w:lang w:eastAsia="zh-CN"/>
        </w:rPr>
        <w:t>四、以下情况作废选处理</w:t>
      </w:r>
    </w:p>
    <w:p>
      <w:pPr>
        <w:pStyle w:val="20"/>
        <w:spacing w:line="360" w:lineRule="auto"/>
        <w:ind w:right="121" w:firstLine="480" w:firstLineChars="200"/>
        <w:jc w:val="both"/>
        <w:rPr>
          <w:lang w:eastAsia="zh-CN"/>
        </w:rPr>
      </w:pPr>
      <w:r>
        <w:rPr>
          <w:lang w:eastAsia="zh-CN"/>
        </w:rPr>
        <w:t>1.对比选文件提出的实质性要求和条件，参选文件未能在实质上响应的。</w:t>
      </w:r>
    </w:p>
    <w:p>
      <w:pPr>
        <w:pStyle w:val="20"/>
        <w:spacing w:line="360" w:lineRule="auto"/>
        <w:ind w:right="121" w:firstLine="480" w:firstLineChars="200"/>
        <w:jc w:val="both"/>
        <w:rPr>
          <w:lang w:eastAsia="zh-CN"/>
        </w:rPr>
      </w:pPr>
      <w:r>
        <w:rPr>
          <w:lang w:eastAsia="zh-CN"/>
        </w:rPr>
        <w:t>2.参选文件存在重大偏差的。</w:t>
      </w:r>
    </w:p>
    <w:p>
      <w:pPr>
        <w:pStyle w:val="20"/>
        <w:spacing w:line="360" w:lineRule="auto"/>
        <w:ind w:right="121" w:firstLine="480" w:firstLineChars="200"/>
        <w:jc w:val="both"/>
        <w:rPr>
          <w:lang w:eastAsia="zh-CN"/>
        </w:rPr>
      </w:pPr>
      <w:r>
        <w:rPr>
          <w:rFonts w:hint="eastAsia"/>
          <w:lang w:eastAsia="zh-CN"/>
        </w:rPr>
        <w:t>3</w:t>
      </w:r>
      <w:r>
        <w:rPr>
          <w:lang w:eastAsia="zh-CN"/>
        </w:rPr>
        <w:t>.违反规定影响开选评选工作或采取其他方式对比选人施加影响的。</w:t>
      </w:r>
    </w:p>
    <w:p>
      <w:pPr>
        <w:pStyle w:val="20"/>
        <w:spacing w:line="360" w:lineRule="auto"/>
        <w:ind w:right="121" w:firstLine="480" w:firstLineChars="200"/>
        <w:jc w:val="both"/>
        <w:rPr>
          <w:lang w:eastAsia="zh-CN"/>
        </w:rPr>
      </w:pPr>
      <w:r>
        <w:rPr>
          <w:rFonts w:hint="eastAsia"/>
          <w:lang w:eastAsia="zh-CN"/>
        </w:rPr>
        <w:t>4</w:t>
      </w:r>
      <w:r>
        <w:rPr>
          <w:lang w:eastAsia="zh-CN"/>
        </w:rPr>
        <w:t>.参选人串标、相互勾结故意压低标价以排挤竞争对手的公平竞争的，其参选无效。</w:t>
      </w:r>
    </w:p>
    <w:p>
      <w:pPr>
        <w:spacing w:before="15" w:line="360" w:lineRule="auto"/>
        <w:ind w:firstLine="534" w:firstLineChars="200"/>
        <w:rPr>
          <w:b/>
          <w:w w:val="95"/>
          <w:sz w:val="28"/>
          <w:lang w:eastAsia="zh-CN"/>
        </w:rPr>
      </w:pPr>
      <w:r>
        <w:rPr>
          <w:b/>
          <w:w w:val="95"/>
          <w:sz w:val="28"/>
          <w:lang w:eastAsia="zh-CN"/>
        </w:rPr>
        <w:t>五、评选</w:t>
      </w:r>
    </w:p>
    <w:p>
      <w:pPr>
        <w:pStyle w:val="20"/>
        <w:spacing w:line="360" w:lineRule="auto"/>
        <w:ind w:right="121" w:firstLine="480" w:firstLineChars="200"/>
        <w:jc w:val="both"/>
        <w:rPr>
          <w:lang w:eastAsia="zh-CN"/>
        </w:rPr>
      </w:pPr>
      <w:r>
        <w:rPr>
          <w:lang w:eastAsia="zh-CN"/>
        </w:rPr>
        <w:t>1.比选人将在参选文件截止日期后另行择日组织比选会，参选人选定工作在比选人有关部门监督下，由比选人依法组建的评选委员会负责。</w:t>
      </w:r>
    </w:p>
    <w:p>
      <w:pPr>
        <w:pStyle w:val="20"/>
        <w:spacing w:line="360" w:lineRule="auto"/>
        <w:ind w:right="121" w:firstLine="480" w:firstLineChars="200"/>
        <w:jc w:val="both"/>
        <w:rPr>
          <w:lang w:eastAsia="zh-CN"/>
        </w:rPr>
      </w:pPr>
      <w:r>
        <w:rPr>
          <w:lang w:eastAsia="zh-CN"/>
        </w:rPr>
        <w:t>2.在开选时没有启封和读出的参选文件，在评选时将不予考虑。</w:t>
      </w:r>
    </w:p>
    <w:p>
      <w:pPr>
        <w:pStyle w:val="20"/>
        <w:spacing w:line="360" w:lineRule="auto"/>
        <w:ind w:right="121" w:firstLine="480" w:firstLineChars="200"/>
        <w:jc w:val="both"/>
        <w:rPr>
          <w:lang w:eastAsia="zh-CN"/>
        </w:rPr>
      </w:pPr>
      <w:r>
        <w:rPr>
          <w:lang w:eastAsia="zh-CN"/>
        </w:rPr>
        <w:t>3.比选人将做开选记录。</w:t>
      </w:r>
    </w:p>
    <w:p>
      <w:pPr>
        <w:pStyle w:val="20"/>
        <w:spacing w:line="360" w:lineRule="auto"/>
        <w:ind w:right="121" w:firstLine="480" w:firstLineChars="200"/>
        <w:jc w:val="both"/>
        <w:rPr>
          <w:lang w:eastAsia="zh-CN"/>
        </w:rPr>
      </w:pPr>
      <w:r>
        <w:rPr>
          <w:rFonts w:hint="eastAsia"/>
          <w:lang w:eastAsia="zh-CN"/>
        </w:rPr>
        <w:t>4.业主将根据评选结果与中选人签订合同。</w:t>
      </w:r>
    </w:p>
    <w:p>
      <w:pPr>
        <w:rPr>
          <w:lang w:eastAsia="zh-CN"/>
        </w:rPr>
      </w:pPr>
    </w:p>
    <w:p>
      <w:pPr>
        <w:ind w:firstLine="560" w:firstLineChars="200"/>
        <w:rPr>
          <w:sz w:val="28"/>
          <w:u w:val="single"/>
          <w:lang w:eastAsia="zh-CN"/>
        </w:rPr>
      </w:pPr>
    </w:p>
    <w:sectPr>
      <w:footerReference r:id="rId4" w:type="default"/>
      <w:pgSz w:w="11910" w:h="16840"/>
      <w:pgMar w:top="1500" w:right="1680" w:bottom="740" w:left="1680" w:header="0" w:footer="55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Arial Unicode MS">
    <w:panose1 w:val="020B0604020202020204"/>
    <w:charset w:val="86"/>
    <w:family w:val="swiss"/>
    <w:pitch w:val="default"/>
    <w:sig w:usb0="FFFFFFFF" w:usb1="E9FFFFFF" w:usb2="0000003F" w:usb3="00000000" w:csb0="603F01FF" w:csb1="FFFF0000"/>
  </w:font>
  <w:font w:name="仿宋_GB2312">
    <w:altName w:val="仿宋"/>
    <w:panose1 w:val="02010609030101010101"/>
    <w:charset w:val="86"/>
    <w:family w:val="modern"/>
    <w:pitch w:val="default"/>
    <w:sig w:usb0="00000000" w:usb1="00000000" w:usb2="00000010" w:usb3="00000000" w:csb0="00040000" w:csb1="00000000"/>
  </w:font>
  <w:font w:name="五">
    <w:altName w:val="黑体"/>
    <w:panose1 w:val="00000000000000000000"/>
    <w:charset w:val="86"/>
    <w:family w:val="auto"/>
    <w:pitch w:val="default"/>
    <w:sig w:usb0="00000000" w:usb1="00000000" w:usb2="00000010" w:usb3="00000000" w:csb0="00040000" w:csb1="00000000"/>
  </w:font>
  <w:font w:name="隶书">
    <w:panose1 w:val="0201050906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6900821"/>
    </w:sdtPr>
    <w:sdtContent>
      <w:sdt>
        <w:sdtPr>
          <w:id w:val="2119642350"/>
        </w:sdtPr>
        <w:sdtContent>
          <w:p>
            <w:pPr>
              <w:pStyle w:val="30"/>
              <w:jc w:val="center"/>
            </w:pPr>
            <w:r>
              <w:rPr>
                <w:lang w:val="zh-CN" w:eastAsia="zh-CN"/>
              </w:rPr>
              <w:t xml:space="preserve"> </w:t>
            </w:r>
            <w:r>
              <w:rPr>
                <w:b/>
                <w:bCs/>
                <w:sz w:val="24"/>
                <w:szCs w:val="24"/>
              </w:rPr>
              <w:fldChar w:fldCharType="begin"/>
            </w:r>
            <w:r>
              <w:rPr>
                <w:b/>
                <w:bCs/>
              </w:rPr>
              <w:instrText xml:space="preserve">PAGE</w:instrText>
            </w:r>
            <w:r>
              <w:rPr>
                <w:b/>
                <w:bCs/>
                <w:sz w:val="24"/>
                <w:szCs w:val="24"/>
              </w:rPr>
              <w:fldChar w:fldCharType="separate"/>
            </w:r>
            <w:r>
              <w:rPr>
                <w:b/>
                <w:bCs/>
              </w:rPr>
              <w:t>4</w:t>
            </w:r>
            <w:r>
              <w:rPr>
                <w:b/>
                <w:bCs/>
                <w:sz w:val="24"/>
                <w:szCs w:val="24"/>
              </w:rPr>
              <w:fldChar w:fldCharType="end"/>
            </w:r>
            <w:r>
              <w:rPr>
                <w:lang w:val="zh-CN" w:eastAsia="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23</w:t>
            </w:r>
            <w:r>
              <w:rPr>
                <w:b/>
                <w:bCs/>
                <w:sz w:val="24"/>
                <w:szCs w:val="24"/>
              </w:rPr>
              <w:fldChar w:fldCharType="end"/>
            </w:r>
          </w:p>
        </w:sdtContent>
      </w:sdt>
    </w:sdtContent>
  </w:sdt>
  <w:p>
    <w:pPr>
      <w:pStyle w:val="20"/>
      <w:spacing w:line="14" w:lineRule="auto"/>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23371223"/>
    </w:sdtPr>
    <w:sdtContent>
      <w:p>
        <w:pPr>
          <w:pStyle w:val="30"/>
          <w:jc w:val="center"/>
        </w:pPr>
        <w:r>
          <w:fldChar w:fldCharType="begin"/>
        </w:r>
        <w:r>
          <w:instrText xml:space="preserve">PAGE   \* MERGEFORMAT</w:instrText>
        </w:r>
        <w:r>
          <w:fldChar w:fldCharType="separate"/>
        </w:r>
        <w:r>
          <w:rPr>
            <w:lang w:val="zh-CN" w:eastAsia="zh-CN"/>
          </w:rPr>
          <w:t>14</w:t>
        </w:r>
        <w:r>
          <w:fldChar w:fldCharType="end"/>
        </w:r>
      </w:p>
    </w:sdtContent>
  </w:sdt>
  <w:p>
    <w:pPr>
      <w:pStyle w:val="20"/>
      <w:spacing w:line="14" w:lineRule="auto"/>
      <w:rPr>
        <w:sz w:val="20"/>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48C179"/>
    <w:multiLevelType w:val="multilevel"/>
    <w:tmpl w:val="0248C179"/>
    <w:lvl w:ilvl="0" w:tentative="0">
      <w:start w:val="2"/>
      <w:numFmt w:val="decimal"/>
      <w:pStyle w:val="46"/>
      <w:lvlText w:val="%1"/>
      <w:lvlJc w:val="left"/>
      <w:pPr>
        <w:ind w:left="118" w:hanging="420"/>
      </w:pPr>
      <w:rPr>
        <w:rFonts w:hint="default"/>
      </w:rPr>
    </w:lvl>
    <w:lvl w:ilvl="1" w:tentative="0">
      <w:start w:val="4"/>
      <w:numFmt w:val="decimal"/>
      <w:lvlText w:val="%1.%2"/>
      <w:lvlJc w:val="left"/>
      <w:pPr>
        <w:ind w:left="118" w:hanging="420"/>
      </w:pPr>
      <w:rPr>
        <w:rFonts w:hint="default" w:ascii="Times New Roman" w:hAnsi="Times New Roman" w:eastAsia="Times New Roman" w:cs="Times New Roman"/>
        <w:spacing w:val="-32"/>
        <w:w w:val="100"/>
        <w:sz w:val="24"/>
        <w:szCs w:val="24"/>
      </w:rPr>
    </w:lvl>
    <w:lvl w:ilvl="2" w:tentative="0">
      <w:start w:val="0"/>
      <w:numFmt w:val="bullet"/>
      <w:lvlText w:val="•"/>
      <w:lvlJc w:val="left"/>
      <w:pPr>
        <w:ind w:left="1994" w:hanging="420"/>
      </w:pPr>
      <w:rPr>
        <w:rFonts w:hint="default"/>
      </w:rPr>
    </w:lvl>
    <w:lvl w:ilvl="3" w:tentative="0">
      <w:start w:val="0"/>
      <w:numFmt w:val="bullet"/>
      <w:lvlText w:val="•"/>
      <w:lvlJc w:val="left"/>
      <w:pPr>
        <w:ind w:left="2931" w:hanging="420"/>
      </w:pPr>
      <w:rPr>
        <w:rFonts w:hint="default"/>
      </w:rPr>
    </w:lvl>
    <w:lvl w:ilvl="4" w:tentative="0">
      <w:start w:val="0"/>
      <w:numFmt w:val="bullet"/>
      <w:lvlText w:val="•"/>
      <w:lvlJc w:val="left"/>
      <w:pPr>
        <w:ind w:left="3868" w:hanging="420"/>
      </w:pPr>
      <w:rPr>
        <w:rFonts w:hint="default"/>
      </w:rPr>
    </w:lvl>
    <w:lvl w:ilvl="5" w:tentative="0">
      <w:start w:val="0"/>
      <w:numFmt w:val="bullet"/>
      <w:lvlText w:val="•"/>
      <w:lvlJc w:val="left"/>
      <w:pPr>
        <w:ind w:left="4805" w:hanging="420"/>
      </w:pPr>
      <w:rPr>
        <w:rFonts w:hint="default"/>
      </w:rPr>
    </w:lvl>
    <w:lvl w:ilvl="6" w:tentative="0">
      <w:start w:val="0"/>
      <w:numFmt w:val="bullet"/>
      <w:lvlText w:val="•"/>
      <w:lvlJc w:val="left"/>
      <w:pPr>
        <w:ind w:left="5742" w:hanging="420"/>
      </w:pPr>
      <w:rPr>
        <w:rFonts w:hint="default"/>
      </w:rPr>
    </w:lvl>
    <w:lvl w:ilvl="7" w:tentative="0">
      <w:start w:val="0"/>
      <w:numFmt w:val="bullet"/>
      <w:lvlText w:val="•"/>
      <w:lvlJc w:val="left"/>
      <w:pPr>
        <w:ind w:left="6679" w:hanging="420"/>
      </w:pPr>
      <w:rPr>
        <w:rFonts w:hint="default"/>
      </w:rPr>
    </w:lvl>
    <w:lvl w:ilvl="8" w:tentative="0">
      <w:start w:val="0"/>
      <w:numFmt w:val="bullet"/>
      <w:lvlText w:val="•"/>
      <w:lvlJc w:val="left"/>
      <w:pPr>
        <w:ind w:left="7616" w:hanging="420"/>
      </w:pPr>
      <w:rPr>
        <w:rFonts w:hint="default"/>
      </w:rPr>
    </w:lvl>
  </w:abstractNum>
  <w:abstractNum w:abstractNumId="1">
    <w:nsid w:val="2EC86B76"/>
    <w:multiLevelType w:val="multilevel"/>
    <w:tmpl w:val="2EC86B76"/>
    <w:lvl w:ilvl="0" w:tentative="0">
      <w:start w:val="1"/>
      <w:numFmt w:val="japaneseCounting"/>
      <w:lvlText w:val="%1、"/>
      <w:lvlJc w:val="left"/>
      <w:pPr>
        <w:ind w:left="1258" w:hanging="720"/>
      </w:pPr>
      <w:rPr>
        <w:rFonts w:hint="default"/>
      </w:rPr>
    </w:lvl>
    <w:lvl w:ilvl="1" w:tentative="0">
      <w:start w:val="1"/>
      <w:numFmt w:val="lowerLetter"/>
      <w:pStyle w:val="134"/>
      <w:lvlText w:val="%2)"/>
      <w:lvlJc w:val="left"/>
      <w:pPr>
        <w:ind w:left="1378" w:hanging="420"/>
      </w:pPr>
    </w:lvl>
    <w:lvl w:ilvl="2" w:tentative="0">
      <w:start w:val="1"/>
      <w:numFmt w:val="lowerRoman"/>
      <w:lvlText w:val="%3."/>
      <w:lvlJc w:val="right"/>
      <w:pPr>
        <w:ind w:left="1798" w:hanging="420"/>
      </w:pPr>
    </w:lvl>
    <w:lvl w:ilvl="3" w:tentative="0">
      <w:start w:val="1"/>
      <w:numFmt w:val="decimal"/>
      <w:lvlText w:val="%4."/>
      <w:lvlJc w:val="left"/>
      <w:pPr>
        <w:ind w:left="2218" w:hanging="420"/>
      </w:pPr>
    </w:lvl>
    <w:lvl w:ilvl="4" w:tentative="0">
      <w:start w:val="1"/>
      <w:numFmt w:val="lowerLetter"/>
      <w:lvlText w:val="%5)"/>
      <w:lvlJc w:val="left"/>
      <w:pPr>
        <w:ind w:left="2638" w:hanging="420"/>
      </w:pPr>
    </w:lvl>
    <w:lvl w:ilvl="5" w:tentative="0">
      <w:start w:val="1"/>
      <w:numFmt w:val="lowerRoman"/>
      <w:lvlText w:val="%6."/>
      <w:lvlJc w:val="right"/>
      <w:pPr>
        <w:ind w:left="3058" w:hanging="420"/>
      </w:pPr>
    </w:lvl>
    <w:lvl w:ilvl="6" w:tentative="0">
      <w:start w:val="1"/>
      <w:numFmt w:val="decimal"/>
      <w:lvlText w:val="%7."/>
      <w:lvlJc w:val="left"/>
      <w:pPr>
        <w:ind w:left="3478" w:hanging="420"/>
      </w:pPr>
    </w:lvl>
    <w:lvl w:ilvl="7" w:tentative="0">
      <w:start w:val="1"/>
      <w:numFmt w:val="lowerLetter"/>
      <w:lvlText w:val="%8)"/>
      <w:lvlJc w:val="left"/>
      <w:pPr>
        <w:ind w:left="3898" w:hanging="420"/>
      </w:pPr>
    </w:lvl>
    <w:lvl w:ilvl="8" w:tentative="0">
      <w:start w:val="1"/>
      <w:numFmt w:val="lowerRoman"/>
      <w:lvlText w:val="%9."/>
      <w:lvlJc w:val="right"/>
      <w:pPr>
        <w:ind w:left="4318" w:hanging="420"/>
      </w:pPr>
    </w:lvl>
  </w:abstractNum>
  <w:abstractNum w:abstractNumId="2">
    <w:nsid w:val="30014EE9"/>
    <w:multiLevelType w:val="multilevel"/>
    <w:tmpl w:val="30014EE9"/>
    <w:lvl w:ilvl="0" w:tentative="0">
      <w:start w:val="1"/>
      <w:numFmt w:val="upperLetter"/>
      <w:pStyle w:val="136"/>
      <w:lvlText w:val="%1、"/>
      <w:lvlJc w:val="left"/>
      <w:pPr>
        <w:ind w:left="988" w:hanging="390"/>
      </w:pPr>
      <w:rPr>
        <w:rFonts w:hint="default"/>
      </w:rPr>
    </w:lvl>
    <w:lvl w:ilvl="1" w:tentative="0">
      <w:start w:val="1"/>
      <w:numFmt w:val="lowerLetter"/>
      <w:lvlText w:val="%2)"/>
      <w:lvlJc w:val="left"/>
      <w:pPr>
        <w:ind w:left="1438" w:hanging="420"/>
      </w:pPr>
    </w:lvl>
    <w:lvl w:ilvl="2" w:tentative="0">
      <w:start w:val="1"/>
      <w:numFmt w:val="lowerRoman"/>
      <w:lvlText w:val="%3."/>
      <w:lvlJc w:val="right"/>
      <w:pPr>
        <w:ind w:left="1858" w:hanging="420"/>
      </w:pPr>
    </w:lvl>
    <w:lvl w:ilvl="3" w:tentative="0">
      <w:start w:val="1"/>
      <w:numFmt w:val="decimal"/>
      <w:lvlText w:val="%4."/>
      <w:lvlJc w:val="left"/>
      <w:pPr>
        <w:ind w:left="2278" w:hanging="420"/>
      </w:pPr>
    </w:lvl>
    <w:lvl w:ilvl="4" w:tentative="0">
      <w:start w:val="1"/>
      <w:numFmt w:val="lowerLetter"/>
      <w:lvlText w:val="%5)"/>
      <w:lvlJc w:val="left"/>
      <w:pPr>
        <w:ind w:left="2698" w:hanging="420"/>
      </w:pPr>
    </w:lvl>
    <w:lvl w:ilvl="5" w:tentative="0">
      <w:start w:val="1"/>
      <w:numFmt w:val="lowerRoman"/>
      <w:lvlText w:val="%6."/>
      <w:lvlJc w:val="right"/>
      <w:pPr>
        <w:ind w:left="3118" w:hanging="420"/>
      </w:pPr>
    </w:lvl>
    <w:lvl w:ilvl="6" w:tentative="0">
      <w:start w:val="1"/>
      <w:numFmt w:val="decimal"/>
      <w:lvlText w:val="%7."/>
      <w:lvlJc w:val="left"/>
      <w:pPr>
        <w:ind w:left="3538" w:hanging="420"/>
      </w:pPr>
    </w:lvl>
    <w:lvl w:ilvl="7" w:tentative="0">
      <w:start w:val="1"/>
      <w:numFmt w:val="lowerLetter"/>
      <w:lvlText w:val="%8)"/>
      <w:lvlJc w:val="left"/>
      <w:pPr>
        <w:ind w:left="3958" w:hanging="420"/>
      </w:pPr>
    </w:lvl>
    <w:lvl w:ilvl="8" w:tentative="0">
      <w:start w:val="1"/>
      <w:numFmt w:val="lowerRoman"/>
      <w:lvlText w:val="%9."/>
      <w:lvlJc w:val="right"/>
      <w:pPr>
        <w:ind w:left="4378" w:hanging="420"/>
      </w:pPr>
    </w:lvl>
  </w:abstractNum>
  <w:abstractNum w:abstractNumId="3">
    <w:nsid w:val="3A451854"/>
    <w:multiLevelType w:val="multilevel"/>
    <w:tmpl w:val="3A451854"/>
    <w:lvl w:ilvl="0" w:tentative="0">
      <w:start w:val="1"/>
      <w:numFmt w:val="chineseCountingThousand"/>
      <w:pStyle w:val="181"/>
      <w:lvlText w:val="第%1章 "/>
      <w:lvlJc w:val="left"/>
      <w:pPr>
        <w:tabs>
          <w:tab w:val="left" w:pos="425"/>
        </w:tabs>
        <w:ind w:left="0" w:firstLine="0"/>
      </w:pPr>
      <w:rPr>
        <w:rFonts w:hint="eastAsia" w:ascii="宋体" w:eastAsia="宋体"/>
        <w:b/>
        <w:i w:val="0"/>
        <w:sz w:val="32"/>
        <w:szCs w:val="32"/>
      </w:rPr>
    </w:lvl>
    <w:lvl w:ilvl="1" w:tentative="0">
      <w:start w:val="1"/>
      <w:numFmt w:val="decimal"/>
      <w:pStyle w:val="182"/>
      <w:lvlText w:val="第%2节"/>
      <w:lvlJc w:val="left"/>
      <w:pPr>
        <w:tabs>
          <w:tab w:val="left" w:pos="992"/>
        </w:tabs>
        <w:ind w:left="0" w:firstLine="0"/>
      </w:pPr>
      <w:rPr>
        <w:rFonts w:hint="eastAsia" w:ascii="宋体" w:eastAsia="宋体"/>
        <w:b/>
        <w:i w:val="0"/>
        <w:sz w:val="30"/>
        <w:szCs w:val="30"/>
      </w:rPr>
    </w:lvl>
    <w:lvl w:ilvl="2" w:tentative="0">
      <w:start w:val="1"/>
      <w:numFmt w:val="decimal"/>
      <w:pStyle w:val="183"/>
      <w:lvlText w:val="%3"/>
      <w:lvlJc w:val="left"/>
      <w:pPr>
        <w:tabs>
          <w:tab w:val="left" w:pos="567"/>
        </w:tabs>
        <w:ind w:left="0" w:firstLine="0"/>
      </w:pPr>
      <w:rPr>
        <w:rFonts w:hint="eastAsia" w:ascii="宋体" w:eastAsia="宋体"/>
        <w:b/>
        <w:i w:val="0"/>
        <w:sz w:val="24"/>
        <w:szCs w:val="24"/>
      </w:rPr>
    </w:lvl>
    <w:lvl w:ilvl="3" w:tentative="0">
      <w:start w:val="1"/>
      <w:numFmt w:val="decimal"/>
      <w:pStyle w:val="184"/>
      <w:lvlText w:val="%3.%4"/>
      <w:lvlJc w:val="left"/>
      <w:pPr>
        <w:tabs>
          <w:tab w:val="left" w:pos="737"/>
        </w:tabs>
        <w:ind w:left="0" w:firstLine="284"/>
      </w:pPr>
      <w:rPr>
        <w:rFonts w:hint="eastAsia" w:ascii="宋体" w:eastAsia="宋体"/>
        <w:b/>
        <w:i w:val="0"/>
        <w:sz w:val="24"/>
        <w:szCs w:val="24"/>
      </w:rPr>
    </w:lvl>
    <w:lvl w:ilvl="4" w:tentative="0">
      <w:start w:val="1"/>
      <w:numFmt w:val="decimal"/>
      <w:pStyle w:val="185"/>
      <w:lvlText w:val="6.4.%5"/>
      <w:lvlJc w:val="left"/>
      <w:pPr>
        <w:tabs>
          <w:tab w:val="left" w:pos="907"/>
        </w:tabs>
        <w:ind w:left="0" w:firstLine="0"/>
      </w:pPr>
      <w:rPr>
        <w:rFonts w:hint="eastAsia" w:ascii="宋体" w:eastAsia="宋体"/>
        <w:b w:val="0"/>
        <w:i w:val="0"/>
        <w:sz w:val="24"/>
        <w:szCs w:val="24"/>
      </w:rPr>
    </w:lvl>
    <w:lvl w:ilvl="5" w:tentative="0">
      <w:start w:val="1"/>
      <w:numFmt w:val="decimal"/>
      <w:pStyle w:val="186"/>
      <w:lvlText w:val="%3.%4.%5.%6"/>
      <w:lvlJc w:val="left"/>
      <w:pPr>
        <w:tabs>
          <w:tab w:val="left" w:pos="1021"/>
        </w:tabs>
        <w:ind w:left="0" w:firstLine="0"/>
      </w:pPr>
      <w:rPr>
        <w:rFonts w:hint="eastAsia" w:ascii="宋体" w:eastAsia="宋体"/>
        <w:b w:val="0"/>
        <w:i w:val="0"/>
        <w:sz w:val="24"/>
        <w:szCs w:val="24"/>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4">
    <w:nsid w:val="5A241D34"/>
    <w:multiLevelType w:val="multilevel"/>
    <w:tmpl w:val="5A241D34"/>
    <w:lvl w:ilvl="0" w:tentative="0">
      <w:start w:val="1"/>
      <w:numFmt w:val="decimal"/>
      <w:pStyle w:val="15"/>
      <w:lvlText w:val="%1."/>
      <w:lvlJc w:val="left"/>
      <w:pPr>
        <w:ind w:left="6778" w:hanging="6300"/>
      </w:pPr>
      <w:rPr>
        <w:rFonts w:hint="default" w:ascii="Times New Roman" w:hAnsi="Times New Roman" w:eastAsia="Times New Roman" w:cs="Times New Roman"/>
        <w:w w:val="100"/>
        <w:sz w:val="24"/>
        <w:szCs w:val="24"/>
      </w:rPr>
    </w:lvl>
    <w:lvl w:ilvl="1" w:tentative="0">
      <w:start w:val="0"/>
      <w:numFmt w:val="bullet"/>
      <w:lvlText w:val="•"/>
      <w:lvlJc w:val="left"/>
      <w:pPr>
        <w:ind w:left="7061" w:hanging="6300"/>
      </w:pPr>
      <w:rPr>
        <w:rFonts w:hint="default"/>
      </w:rPr>
    </w:lvl>
    <w:lvl w:ilvl="2" w:tentative="0">
      <w:start w:val="0"/>
      <w:numFmt w:val="bullet"/>
      <w:lvlText w:val="•"/>
      <w:lvlJc w:val="left"/>
      <w:pPr>
        <w:ind w:left="7342" w:hanging="6300"/>
      </w:pPr>
      <w:rPr>
        <w:rFonts w:hint="default"/>
      </w:rPr>
    </w:lvl>
    <w:lvl w:ilvl="3" w:tentative="0">
      <w:start w:val="0"/>
      <w:numFmt w:val="bullet"/>
      <w:lvlText w:val="•"/>
      <w:lvlJc w:val="left"/>
      <w:pPr>
        <w:ind w:left="7623" w:hanging="6300"/>
      </w:pPr>
      <w:rPr>
        <w:rFonts w:hint="default"/>
      </w:rPr>
    </w:lvl>
    <w:lvl w:ilvl="4" w:tentative="0">
      <w:start w:val="0"/>
      <w:numFmt w:val="bullet"/>
      <w:lvlText w:val="•"/>
      <w:lvlJc w:val="left"/>
      <w:pPr>
        <w:ind w:left="7904" w:hanging="6300"/>
      </w:pPr>
      <w:rPr>
        <w:rFonts w:hint="default"/>
      </w:rPr>
    </w:lvl>
    <w:lvl w:ilvl="5" w:tentative="0">
      <w:start w:val="0"/>
      <w:numFmt w:val="bullet"/>
      <w:lvlText w:val="•"/>
      <w:lvlJc w:val="left"/>
      <w:pPr>
        <w:ind w:left="8185" w:hanging="6300"/>
      </w:pPr>
      <w:rPr>
        <w:rFonts w:hint="default"/>
      </w:rPr>
    </w:lvl>
    <w:lvl w:ilvl="6" w:tentative="0">
      <w:start w:val="0"/>
      <w:numFmt w:val="bullet"/>
      <w:lvlText w:val="•"/>
      <w:lvlJc w:val="left"/>
      <w:pPr>
        <w:ind w:left="8466" w:hanging="6300"/>
      </w:pPr>
      <w:rPr>
        <w:rFonts w:hint="default"/>
      </w:rPr>
    </w:lvl>
    <w:lvl w:ilvl="7" w:tentative="0">
      <w:start w:val="0"/>
      <w:numFmt w:val="bullet"/>
      <w:lvlText w:val="•"/>
      <w:lvlJc w:val="left"/>
      <w:pPr>
        <w:ind w:left="8747" w:hanging="6300"/>
      </w:pPr>
      <w:rPr>
        <w:rFonts w:hint="default"/>
      </w:rPr>
    </w:lvl>
    <w:lvl w:ilvl="8" w:tentative="0">
      <w:start w:val="0"/>
      <w:numFmt w:val="bullet"/>
      <w:lvlText w:val="•"/>
      <w:lvlJc w:val="left"/>
      <w:pPr>
        <w:ind w:left="9028" w:hanging="6300"/>
      </w:pPr>
      <w:rPr>
        <w:rFonts w:hint="default"/>
      </w:rPr>
    </w:lvl>
  </w:abstractNum>
  <w:num w:numId="1">
    <w:abstractNumId w:val="4"/>
  </w:num>
  <w:num w:numId="2">
    <w:abstractNumId w:val="0"/>
  </w:num>
  <w:num w:numId="3">
    <w:abstractNumId w:val="1"/>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trackRevisions w:val="1"/>
  <w:documentProtection w:enforcement="0"/>
  <w:defaultTabStop w:val="720"/>
  <w:drawingGridHorizontalSpacing w:val="110"/>
  <w:displayHorizontalDrawingGridEvery w:val="1"/>
  <w:displayVerticalDrawingGridEvery w:val="1"/>
  <w:noPunctuationKerning w:val="1"/>
  <w:characterSpacingControl w:val="doNotCompress"/>
  <w:compat>
    <w:ulTrailSpace/>
    <w:doNotExpandShiftReturn/>
    <w:doNotWrapTextWithPunct/>
    <w:doNotUseEastAsianBreakRules/>
    <w:useFELayout/>
    <w:doNotUseIndentAsNumberingTabStop/>
    <w:compatSetting w:name="compatibilityMode" w:uri="http://schemas.microsoft.com/office/word" w:val="12"/>
  </w:compat>
  <w:docVars>
    <w:docVar w:name="commondata" w:val="eyJoZGlkIjoiMTM2NDY3NGQzMmJmYjUwZTljNjJiMDRmYmQ5YWM0MjMifQ=="/>
  </w:docVars>
  <w:rsids>
    <w:rsidRoot w:val="00967702"/>
    <w:rsid w:val="000004E6"/>
    <w:rsid w:val="000010FA"/>
    <w:rsid w:val="00001416"/>
    <w:rsid w:val="000034C1"/>
    <w:rsid w:val="00004C5E"/>
    <w:rsid w:val="00025717"/>
    <w:rsid w:val="000277D1"/>
    <w:rsid w:val="000367ED"/>
    <w:rsid w:val="00037D7F"/>
    <w:rsid w:val="00052C0E"/>
    <w:rsid w:val="00053AFA"/>
    <w:rsid w:val="00055F7B"/>
    <w:rsid w:val="00057E4C"/>
    <w:rsid w:val="000600D0"/>
    <w:rsid w:val="00060DB7"/>
    <w:rsid w:val="00065E22"/>
    <w:rsid w:val="000674E3"/>
    <w:rsid w:val="00074760"/>
    <w:rsid w:val="00074EAF"/>
    <w:rsid w:val="00085CA2"/>
    <w:rsid w:val="00092243"/>
    <w:rsid w:val="0009500D"/>
    <w:rsid w:val="000962C0"/>
    <w:rsid w:val="000A1C86"/>
    <w:rsid w:val="000A6182"/>
    <w:rsid w:val="000B0914"/>
    <w:rsid w:val="000B2F35"/>
    <w:rsid w:val="000C1FAD"/>
    <w:rsid w:val="000C57EB"/>
    <w:rsid w:val="000C629C"/>
    <w:rsid w:val="000D1175"/>
    <w:rsid w:val="000D1503"/>
    <w:rsid w:val="000D1AB8"/>
    <w:rsid w:val="000D35CF"/>
    <w:rsid w:val="000D51F3"/>
    <w:rsid w:val="000E505B"/>
    <w:rsid w:val="000F116F"/>
    <w:rsid w:val="000F15E9"/>
    <w:rsid w:val="000F27AD"/>
    <w:rsid w:val="000F39C1"/>
    <w:rsid w:val="000F4255"/>
    <w:rsid w:val="00101100"/>
    <w:rsid w:val="0011079D"/>
    <w:rsid w:val="00111D19"/>
    <w:rsid w:val="00112B7E"/>
    <w:rsid w:val="001150C5"/>
    <w:rsid w:val="00122E24"/>
    <w:rsid w:val="0012681B"/>
    <w:rsid w:val="00130886"/>
    <w:rsid w:val="00135AC9"/>
    <w:rsid w:val="00142384"/>
    <w:rsid w:val="001427F4"/>
    <w:rsid w:val="00142830"/>
    <w:rsid w:val="00146977"/>
    <w:rsid w:val="001507FD"/>
    <w:rsid w:val="00150CB0"/>
    <w:rsid w:val="00154D53"/>
    <w:rsid w:val="00154EB4"/>
    <w:rsid w:val="00164170"/>
    <w:rsid w:val="001660AB"/>
    <w:rsid w:val="0017327B"/>
    <w:rsid w:val="00177E03"/>
    <w:rsid w:val="0018116F"/>
    <w:rsid w:val="00182B0E"/>
    <w:rsid w:val="00185C58"/>
    <w:rsid w:val="001861E4"/>
    <w:rsid w:val="00192465"/>
    <w:rsid w:val="00193470"/>
    <w:rsid w:val="00193817"/>
    <w:rsid w:val="00195D79"/>
    <w:rsid w:val="001A6EE7"/>
    <w:rsid w:val="001B07AA"/>
    <w:rsid w:val="001B5CD4"/>
    <w:rsid w:val="001B698B"/>
    <w:rsid w:val="001C0DB4"/>
    <w:rsid w:val="001C3DDE"/>
    <w:rsid w:val="001C5843"/>
    <w:rsid w:val="001D13DE"/>
    <w:rsid w:val="001E3C0E"/>
    <w:rsid w:val="001E5BEC"/>
    <w:rsid w:val="001F3956"/>
    <w:rsid w:val="001F3D0A"/>
    <w:rsid w:val="00200CED"/>
    <w:rsid w:val="0020141D"/>
    <w:rsid w:val="00210B50"/>
    <w:rsid w:val="00222EE5"/>
    <w:rsid w:val="00227556"/>
    <w:rsid w:val="002305DA"/>
    <w:rsid w:val="002318C1"/>
    <w:rsid w:val="00233571"/>
    <w:rsid w:val="002336A1"/>
    <w:rsid w:val="00241E6B"/>
    <w:rsid w:val="00242301"/>
    <w:rsid w:val="002427A9"/>
    <w:rsid w:val="002431E7"/>
    <w:rsid w:val="002451B2"/>
    <w:rsid w:val="0024625A"/>
    <w:rsid w:val="0025699E"/>
    <w:rsid w:val="002578E6"/>
    <w:rsid w:val="00263085"/>
    <w:rsid w:val="002648A2"/>
    <w:rsid w:val="00270CE4"/>
    <w:rsid w:val="00273DCB"/>
    <w:rsid w:val="002855A5"/>
    <w:rsid w:val="002859D4"/>
    <w:rsid w:val="00285F4F"/>
    <w:rsid w:val="00287A75"/>
    <w:rsid w:val="00290ADB"/>
    <w:rsid w:val="00290B7A"/>
    <w:rsid w:val="002971E6"/>
    <w:rsid w:val="002A4126"/>
    <w:rsid w:val="002A68F0"/>
    <w:rsid w:val="002B042F"/>
    <w:rsid w:val="002B3B47"/>
    <w:rsid w:val="002B6416"/>
    <w:rsid w:val="002C6A2D"/>
    <w:rsid w:val="002D4CF8"/>
    <w:rsid w:val="002E0F0C"/>
    <w:rsid w:val="002E3036"/>
    <w:rsid w:val="002E49DF"/>
    <w:rsid w:val="002E4DB0"/>
    <w:rsid w:val="002E6175"/>
    <w:rsid w:val="002F34BA"/>
    <w:rsid w:val="002F6800"/>
    <w:rsid w:val="002F755A"/>
    <w:rsid w:val="003053B9"/>
    <w:rsid w:val="003102D1"/>
    <w:rsid w:val="003221F4"/>
    <w:rsid w:val="00322502"/>
    <w:rsid w:val="00322549"/>
    <w:rsid w:val="003302EE"/>
    <w:rsid w:val="00331810"/>
    <w:rsid w:val="0033277A"/>
    <w:rsid w:val="003344D9"/>
    <w:rsid w:val="003355C7"/>
    <w:rsid w:val="00342B24"/>
    <w:rsid w:val="003456D2"/>
    <w:rsid w:val="00347C37"/>
    <w:rsid w:val="00350BD1"/>
    <w:rsid w:val="00351BB3"/>
    <w:rsid w:val="003603CD"/>
    <w:rsid w:val="003635DF"/>
    <w:rsid w:val="00364EB1"/>
    <w:rsid w:val="00365CCD"/>
    <w:rsid w:val="00373697"/>
    <w:rsid w:val="00376FF9"/>
    <w:rsid w:val="00383DFA"/>
    <w:rsid w:val="00383FD8"/>
    <w:rsid w:val="00385474"/>
    <w:rsid w:val="00387574"/>
    <w:rsid w:val="00392040"/>
    <w:rsid w:val="0039324B"/>
    <w:rsid w:val="003A16AE"/>
    <w:rsid w:val="003B3C4F"/>
    <w:rsid w:val="003B3F6B"/>
    <w:rsid w:val="003B6804"/>
    <w:rsid w:val="003B7CBD"/>
    <w:rsid w:val="003C1AF2"/>
    <w:rsid w:val="003E37C1"/>
    <w:rsid w:val="003E422E"/>
    <w:rsid w:val="003F3600"/>
    <w:rsid w:val="003F5B96"/>
    <w:rsid w:val="003F614D"/>
    <w:rsid w:val="003F6A6B"/>
    <w:rsid w:val="004022EC"/>
    <w:rsid w:val="0040417A"/>
    <w:rsid w:val="00405092"/>
    <w:rsid w:val="00407E93"/>
    <w:rsid w:val="00410C69"/>
    <w:rsid w:val="0041197D"/>
    <w:rsid w:val="00413501"/>
    <w:rsid w:val="00420DB7"/>
    <w:rsid w:val="00432036"/>
    <w:rsid w:val="00437706"/>
    <w:rsid w:val="00437CA2"/>
    <w:rsid w:val="0046376D"/>
    <w:rsid w:val="00465443"/>
    <w:rsid w:val="00465D19"/>
    <w:rsid w:val="0047282D"/>
    <w:rsid w:val="0047402F"/>
    <w:rsid w:val="00481DEF"/>
    <w:rsid w:val="00482DD6"/>
    <w:rsid w:val="004835AF"/>
    <w:rsid w:val="00490A62"/>
    <w:rsid w:val="0049126B"/>
    <w:rsid w:val="00492D04"/>
    <w:rsid w:val="004941B1"/>
    <w:rsid w:val="00494C07"/>
    <w:rsid w:val="004A13AF"/>
    <w:rsid w:val="004A46AD"/>
    <w:rsid w:val="004A498D"/>
    <w:rsid w:val="004C16AE"/>
    <w:rsid w:val="004C4B54"/>
    <w:rsid w:val="004D6A19"/>
    <w:rsid w:val="00500D74"/>
    <w:rsid w:val="00505560"/>
    <w:rsid w:val="00513D5D"/>
    <w:rsid w:val="00514AFE"/>
    <w:rsid w:val="00533119"/>
    <w:rsid w:val="005339E0"/>
    <w:rsid w:val="005345C8"/>
    <w:rsid w:val="005369F4"/>
    <w:rsid w:val="0054092C"/>
    <w:rsid w:val="00547AD0"/>
    <w:rsid w:val="005518F3"/>
    <w:rsid w:val="00555E59"/>
    <w:rsid w:val="00564136"/>
    <w:rsid w:val="00565CF8"/>
    <w:rsid w:val="00574DAE"/>
    <w:rsid w:val="0057705C"/>
    <w:rsid w:val="00581B11"/>
    <w:rsid w:val="0058671D"/>
    <w:rsid w:val="00587DD6"/>
    <w:rsid w:val="00593DEA"/>
    <w:rsid w:val="00595F8F"/>
    <w:rsid w:val="005A4D52"/>
    <w:rsid w:val="005B4BA0"/>
    <w:rsid w:val="005B6211"/>
    <w:rsid w:val="005C6A76"/>
    <w:rsid w:val="005D5BB2"/>
    <w:rsid w:val="005E2211"/>
    <w:rsid w:val="005E2CFD"/>
    <w:rsid w:val="005E2EB3"/>
    <w:rsid w:val="005E7AF2"/>
    <w:rsid w:val="005F21D1"/>
    <w:rsid w:val="005F32BA"/>
    <w:rsid w:val="005F4BA4"/>
    <w:rsid w:val="00603968"/>
    <w:rsid w:val="00606A94"/>
    <w:rsid w:val="00611D91"/>
    <w:rsid w:val="006149C8"/>
    <w:rsid w:val="006152B6"/>
    <w:rsid w:val="00622985"/>
    <w:rsid w:val="006238C7"/>
    <w:rsid w:val="006238EE"/>
    <w:rsid w:val="00624F51"/>
    <w:rsid w:val="006268B0"/>
    <w:rsid w:val="00630128"/>
    <w:rsid w:val="006312AB"/>
    <w:rsid w:val="00631F92"/>
    <w:rsid w:val="00632468"/>
    <w:rsid w:val="00632E52"/>
    <w:rsid w:val="00642E61"/>
    <w:rsid w:val="006458DE"/>
    <w:rsid w:val="00647AA3"/>
    <w:rsid w:val="006525C8"/>
    <w:rsid w:val="0065429C"/>
    <w:rsid w:val="00662C51"/>
    <w:rsid w:val="006631EB"/>
    <w:rsid w:val="00663FF4"/>
    <w:rsid w:val="00664A57"/>
    <w:rsid w:val="00664E56"/>
    <w:rsid w:val="0067747B"/>
    <w:rsid w:val="00684001"/>
    <w:rsid w:val="0068543C"/>
    <w:rsid w:val="006940F9"/>
    <w:rsid w:val="00694FFE"/>
    <w:rsid w:val="006A232A"/>
    <w:rsid w:val="006A79DD"/>
    <w:rsid w:val="006A7D0D"/>
    <w:rsid w:val="006A7EA8"/>
    <w:rsid w:val="006B17F7"/>
    <w:rsid w:val="006B21C2"/>
    <w:rsid w:val="006B3CB3"/>
    <w:rsid w:val="006B4F7B"/>
    <w:rsid w:val="006B5CDC"/>
    <w:rsid w:val="006B5E39"/>
    <w:rsid w:val="006B79D7"/>
    <w:rsid w:val="006C1395"/>
    <w:rsid w:val="006C3A25"/>
    <w:rsid w:val="006C775E"/>
    <w:rsid w:val="006D4F96"/>
    <w:rsid w:val="006D6EE0"/>
    <w:rsid w:val="006E0A7C"/>
    <w:rsid w:val="006E0FCB"/>
    <w:rsid w:val="006E25FB"/>
    <w:rsid w:val="006E3B36"/>
    <w:rsid w:val="006E6D55"/>
    <w:rsid w:val="006F0262"/>
    <w:rsid w:val="006F3EAD"/>
    <w:rsid w:val="0070006F"/>
    <w:rsid w:val="00701816"/>
    <w:rsid w:val="00701DE6"/>
    <w:rsid w:val="0070392A"/>
    <w:rsid w:val="007072CB"/>
    <w:rsid w:val="0071080A"/>
    <w:rsid w:val="00711047"/>
    <w:rsid w:val="00713C5D"/>
    <w:rsid w:val="00714008"/>
    <w:rsid w:val="00714DA2"/>
    <w:rsid w:val="0071512F"/>
    <w:rsid w:val="0071545F"/>
    <w:rsid w:val="007279F5"/>
    <w:rsid w:val="00732878"/>
    <w:rsid w:val="00732ED8"/>
    <w:rsid w:val="00733A20"/>
    <w:rsid w:val="0073742A"/>
    <w:rsid w:val="007422CA"/>
    <w:rsid w:val="00745001"/>
    <w:rsid w:val="00745779"/>
    <w:rsid w:val="00746DBA"/>
    <w:rsid w:val="00751B1E"/>
    <w:rsid w:val="00753C0F"/>
    <w:rsid w:val="007540CE"/>
    <w:rsid w:val="00755E15"/>
    <w:rsid w:val="007601EF"/>
    <w:rsid w:val="00760373"/>
    <w:rsid w:val="007619B1"/>
    <w:rsid w:val="00786BE0"/>
    <w:rsid w:val="00794F72"/>
    <w:rsid w:val="00795740"/>
    <w:rsid w:val="007B7828"/>
    <w:rsid w:val="007C2B12"/>
    <w:rsid w:val="007C6297"/>
    <w:rsid w:val="007C7F5F"/>
    <w:rsid w:val="007D17EF"/>
    <w:rsid w:val="007D2272"/>
    <w:rsid w:val="007D2D34"/>
    <w:rsid w:val="007D5A7E"/>
    <w:rsid w:val="007D5F37"/>
    <w:rsid w:val="007D6D04"/>
    <w:rsid w:val="007D7FCA"/>
    <w:rsid w:val="007E208C"/>
    <w:rsid w:val="007E67FB"/>
    <w:rsid w:val="007E6CD1"/>
    <w:rsid w:val="007F06B2"/>
    <w:rsid w:val="007F3EB5"/>
    <w:rsid w:val="007F61D0"/>
    <w:rsid w:val="007F78F1"/>
    <w:rsid w:val="00803D71"/>
    <w:rsid w:val="00804A52"/>
    <w:rsid w:val="00804C93"/>
    <w:rsid w:val="00811DBA"/>
    <w:rsid w:val="008263B0"/>
    <w:rsid w:val="00826D77"/>
    <w:rsid w:val="008279D0"/>
    <w:rsid w:val="008367BA"/>
    <w:rsid w:val="0084007B"/>
    <w:rsid w:val="00840870"/>
    <w:rsid w:val="008433A6"/>
    <w:rsid w:val="0085290F"/>
    <w:rsid w:val="00855428"/>
    <w:rsid w:val="00856CF7"/>
    <w:rsid w:val="00856E19"/>
    <w:rsid w:val="008622DD"/>
    <w:rsid w:val="00862896"/>
    <w:rsid w:val="008725C6"/>
    <w:rsid w:val="00876586"/>
    <w:rsid w:val="00881942"/>
    <w:rsid w:val="00885D5E"/>
    <w:rsid w:val="00892A2A"/>
    <w:rsid w:val="00895AAC"/>
    <w:rsid w:val="008A20B3"/>
    <w:rsid w:val="008A28CB"/>
    <w:rsid w:val="008B4179"/>
    <w:rsid w:val="008C03C3"/>
    <w:rsid w:val="008E1769"/>
    <w:rsid w:val="008E1F3F"/>
    <w:rsid w:val="008E2155"/>
    <w:rsid w:val="008E5198"/>
    <w:rsid w:val="008F239D"/>
    <w:rsid w:val="008F3559"/>
    <w:rsid w:val="009032FB"/>
    <w:rsid w:val="00915CA6"/>
    <w:rsid w:val="00917368"/>
    <w:rsid w:val="009235B3"/>
    <w:rsid w:val="00930487"/>
    <w:rsid w:val="009312CA"/>
    <w:rsid w:val="009353D9"/>
    <w:rsid w:val="00937414"/>
    <w:rsid w:val="00952F8D"/>
    <w:rsid w:val="00955A6F"/>
    <w:rsid w:val="00964F96"/>
    <w:rsid w:val="009663D1"/>
    <w:rsid w:val="00967702"/>
    <w:rsid w:val="00971BD1"/>
    <w:rsid w:val="00974883"/>
    <w:rsid w:val="00975EAC"/>
    <w:rsid w:val="00977F9C"/>
    <w:rsid w:val="00986280"/>
    <w:rsid w:val="009873FF"/>
    <w:rsid w:val="009928C9"/>
    <w:rsid w:val="00992DC8"/>
    <w:rsid w:val="00995F84"/>
    <w:rsid w:val="0099730F"/>
    <w:rsid w:val="009A5EA2"/>
    <w:rsid w:val="009A6FD0"/>
    <w:rsid w:val="009B054A"/>
    <w:rsid w:val="009B2858"/>
    <w:rsid w:val="009B2DE5"/>
    <w:rsid w:val="009B34B8"/>
    <w:rsid w:val="009D49AE"/>
    <w:rsid w:val="009D501D"/>
    <w:rsid w:val="009D7449"/>
    <w:rsid w:val="009E1058"/>
    <w:rsid w:val="009F0778"/>
    <w:rsid w:val="009F0B78"/>
    <w:rsid w:val="009F3E44"/>
    <w:rsid w:val="009F6299"/>
    <w:rsid w:val="00A149E5"/>
    <w:rsid w:val="00A153FC"/>
    <w:rsid w:val="00A2542D"/>
    <w:rsid w:val="00A278D7"/>
    <w:rsid w:val="00A27C29"/>
    <w:rsid w:val="00A33603"/>
    <w:rsid w:val="00A367C8"/>
    <w:rsid w:val="00A37693"/>
    <w:rsid w:val="00A45CA3"/>
    <w:rsid w:val="00A45F18"/>
    <w:rsid w:val="00A614C8"/>
    <w:rsid w:val="00A62247"/>
    <w:rsid w:val="00A6610B"/>
    <w:rsid w:val="00A70480"/>
    <w:rsid w:val="00A7270C"/>
    <w:rsid w:val="00A82B0B"/>
    <w:rsid w:val="00A878E0"/>
    <w:rsid w:val="00A87B9C"/>
    <w:rsid w:val="00A9577B"/>
    <w:rsid w:val="00A9762D"/>
    <w:rsid w:val="00A97BAC"/>
    <w:rsid w:val="00AB4B33"/>
    <w:rsid w:val="00AB4D58"/>
    <w:rsid w:val="00AB520D"/>
    <w:rsid w:val="00AB5916"/>
    <w:rsid w:val="00AB6E37"/>
    <w:rsid w:val="00AB77FF"/>
    <w:rsid w:val="00AC3CFE"/>
    <w:rsid w:val="00AC470D"/>
    <w:rsid w:val="00AC7F0D"/>
    <w:rsid w:val="00AD0858"/>
    <w:rsid w:val="00AD202A"/>
    <w:rsid w:val="00AD24EC"/>
    <w:rsid w:val="00AD258E"/>
    <w:rsid w:val="00AD4DAF"/>
    <w:rsid w:val="00AD66E2"/>
    <w:rsid w:val="00AF42BA"/>
    <w:rsid w:val="00AF45D7"/>
    <w:rsid w:val="00AF5870"/>
    <w:rsid w:val="00B04CA6"/>
    <w:rsid w:val="00B101F1"/>
    <w:rsid w:val="00B135AA"/>
    <w:rsid w:val="00B17438"/>
    <w:rsid w:val="00B2137B"/>
    <w:rsid w:val="00B3047D"/>
    <w:rsid w:val="00B31994"/>
    <w:rsid w:val="00B33D45"/>
    <w:rsid w:val="00B36554"/>
    <w:rsid w:val="00B41C19"/>
    <w:rsid w:val="00B44FC3"/>
    <w:rsid w:val="00B5127C"/>
    <w:rsid w:val="00B601D5"/>
    <w:rsid w:val="00B6462C"/>
    <w:rsid w:val="00B64838"/>
    <w:rsid w:val="00B67AF9"/>
    <w:rsid w:val="00B7542E"/>
    <w:rsid w:val="00B81287"/>
    <w:rsid w:val="00B8397A"/>
    <w:rsid w:val="00B84124"/>
    <w:rsid w:val="00B841E6"/>
    <w:rsid w:val="00B908A4"/>
    <w:rsid w:val="00B912C6"/>
    <w:rsid w:val="00B92794"/>
    <w:rsid w:val="00B936AF"/>
    <w:rsid w:val="00B93AEA"/>
    <w:rsid w:val="00B97B69"/>
    <w:rsid w:val="00BA4E15"/>
    <w:rsid w:val="00BA5C95"/>
    <w:rsid w:val="00BA76D8"/>
    <w:rsid w:val="00BB028C"/>
    <w:rsid w:val="00BB56DE"/>
    <w:rsid w:val="00BB7676"/>
    <w:rsid w:val="00BB7853"/>
    <w:rsid w:val="00BC11B8"/>
    <w:rsid w:val="00BC1268"/>
    <w:rsid w:val="00BD5816"/>
    <w:rsid w:val="00BD607C"/>
    <w:rsid w:val="00BD77D8"/>
    <w:rsid w:val="00BF0B81"/>
    <w:rsid w:val="00BF0BA0"/>
    <w:rsid w:val="00BF1841"/>
    <w:rsid w:val="00BF1A08"/>
    <w:rsid w:val="00BF524A"/>
    <w:rsid w:val="00BF71FC"/>
    <w:rsid w:val="00C04D6E"/>
    <w:rsid w:val="00C05D72"/>
    <w:rsid w:val="00C074CA"/>
    <w:rsid w:val="00C10DC9"/>
    <w:rsid w:val="00C13082"/>
    <w:rsid w:val="00C13286"/>
    <w:rsid w:val="00C14D2D"/>
    <w:rsid w:val="00C1753E"/>
    <w:rsid w:val="00C20605"/>
    <w:rsid w:val="00C257AE"/>
    <w:rsid w:val="00C267A5"/>
    <w:rsid w:val="00C31D86"/>
    <w:rsid w:val="00C36CCA"/>
    <w:rsid w:val="00C41EDF"/>
    <w:rsid w:val="00C518F0"/>
    <w:rsid w:val="00C5267D"/>
    <w:rsid w:val="00C53E9A"/>
    <w:rsid w:val="00C6183F"/>
    <w:rsid w:val="00C6491F"/>
    <w:rsid w:val="00C71916"/>
    <w:rsid w:val="00C76112"/>
    <w:rsid w:val="00C8060B"/>
    <w:rsid w:val="00C85C83"/>
    <w:rsid w:val="00C864FC"/>
    <w:rsid w:val="00C8727A"/>
    <w:rsid w:val="00C913CE"/>
    <w:rsid w:val="00C92DBD"/>
    <w:rsid w:val="00C93BEF"/>
    <w:rsid w:val="00CA54A9"/>
    <w:rsid w:val="00CB2E01"/>
    <w:rsid w:val="00CB3440"/>
    <w:rsid w:val="00CB5372"/>
    <w:rsid w:val="00CC294A"/>
    <w:rsid w:val="00CC6798"/>
    <w:rsid w:val="00CD371C"/>
    <w:rsid w:val="00CD3723"/>
    <w:rsid w:val="00CD623F"/>
    <w:rsid w:val="00CD7E0C"/>
    <w:rsid w:val="00CE2DB4"/>
    <w:rsid w:val="00CE411C"/>
    <w:rsid w:val="00CE591F"/>
    <w:rsid w:val="00CF173B"/>
    <w:rsid w:val="00CF40A1"/>
    <w:rsid w:val="00D00137"/>
    <w:rsid w:val="00D033EB"/>
    <w:rsid w:val="00D0533F"/>
    <w:rsid w:val="00D10EC7"/>
    <w:rsid w:val="00D14D07"/>
    <w:rsid w:val="00D20FBB"/>
    <w:rsid w:val="00D265B9"/>
    <w:rsid w:val="00D328B1"/>
    <w:rsid w:val="00D33933"/>
    <w:rsid w:val="00D33CA0"/>
    <w:rsid w:val="00D3426F"/>
    <w:rsid w:val="00D439E4"/>
    <w:rsid w:val="00D4446E"/>
    <w:rsid w:val="00D463C4"/>
    <w:rsid w:val="00D4666F"/>
    <w:rsid w:val="00D47881"/>
    <w:rsid w:val="00D5281B"/>
    <w:rsid w:val="00D54A67"/>
    <w:rsid w:val="00D571F8"/>
    <w:rsid w:val="00D60D83"/>
    <w:rsid w:val="00D627B1"/>
    <w:rsid w:val="00D62BDB"/>
    <w:rsid w:val="00D64110"/>
    <w:rsid w:val="00D64BE9"/>
    <w:rsid w:val="00D6778D"/>
    <w:rsid w:val="00D67F61"/>
    <w:rsid w:val="00D70AEA"/>
    <w:rsid w:val="00D70F88"/>
    <w:rsid w:val="00D728BD"/>
    <w:rsid w:val="00D73C0E"/>
    <w:rsid w:val="00D749CB"/>
    <w:rsid w:val="00D7766D"/>
    <w:rsid w:val="00D84B38"/>
    <w:rsid w:val="00D86664"/>
    <w:rsid w:val="00D87834"/>
    <w:rsid w:val="00D913F7"/>
    <w:rsid w:val="00D92871"/>
    <w:rsid w:val="00D947D8"/>
    <w:rsid w:val="00D957A8"/>
    <w:rsid w:val="00D96DE6"/>
    <w:rsid w:val="00D9778F"/>
    <w:rsid w:val="00DA5752"/>
    <w:rsid w:val="00DA7F1E"/>
    <w:rsid w:val="00DB0348"/>
    <w:rsid w:val="00DD3B90"/>
    <w:rsid w:val="00DD56C2"/>
    <w:rsid w:val="00DD73F9"/>
    <w:rsid w:val="00DE0812"/>
    <w:rsid w:val="00DE1B99"/>
    <w:rsid w:val="00DE63EC"/>
    <w:rsid w:val="00DF35F4"/>
    <w:rsid w:val="00DF41E5"/>
    <w:rsid w:val="00DF463A"/>
    <w:rsid w:val="00DF71FF"/>
    <w:rsid w:val="00E00780"/>
    <w:rsid w:val="00E068F1"/>
    <w:rsid w:val="00E12E5B"/>
    <w:rsid w:val="00E13875"/>
    <w:rsid w:val="00E155F5"/>
    <w:rsid w:val="00E21054"/>
    <w:rsid w:val="00E3205C"/>
    <w:rsid w:val="00E32325"/>
    <w:rsid w:val="00E35382"/>
    <w:rsid w:val="00E37D62"/>
    <w:rsid w:val="00E410EA"/>
    <w:rsid w:val="00E457C1"/>
    <w:rsid w:val="00E50F7B"/>
    <w:rsid w:val="00E53B7B"/>
    <w:rsid w:val="00E56799"/>
    <w:rsid w:val="00E6494A"/>
    <w:rsid w:val="00E70964"/>
    <w:rsid w:val="00E739AE"/>
    <w:rsid w:val="00E80BDD"/>
    <w:rsid w:val="00E85991"/>
    <w:rsid w:val="00E93446"/>
    <w:rsid w:val="00E94724"/>
    <w:rsid w:val="00E975FE"/>
    <w:rsid w:val="00E97CE7"/>
    <w:rsid w:val="00EA5A6E"/>
    <w:rsid w:val="00EC4D7E"/>
    <w:rsid w:val="00EC50D4"/>
    <w:rsid w:val="00EC5462"/>
    <w:rsid w:val="00ED19AE"/>
    <w:rsid w:val="00ED20C8"/>
    <w:rsid w:val="00ED2C9E"/>
    <w:rsid w:val="00ED4FC5"/>
    <w:rsid w:val="00EF1FCA"/>
    <w:rsid w:val="00EF5762"/>
    <w:rsid w:val="00EF6FC7"/>
    <w:rsid w:val="00EF7961"/>
    <w:rsid w:val="00F024A8"/>
    <w:rsid w:val="00F04BFC"/>
    <w:rsid w:val="00F04FCE"/>
    <w:rsid w:val="00F076B3"/>
    <w:rsid w:val="00F10B09"/>
    <w:rsid w:val="00F115FB"/>
    <w:rsid w:val="00F11707"/>
    <w:rsid w:val="00F17C03"/>
    <w:rsid w:val="00F17FFC"/>
    <w:rsid w:val="00F2580C"/>
    <w:rsid w:val="00F264D9"/>
    <w:rsid w:val="00F33B6B"/>
    <w:rsid w:val="00F37425"/>
    <w:rsid w:val="00F418B2"/>
    <w:rsid w:val="00F43F82"/>
    <w:rsid w:val="00F51F3C"/>
    <w:rsid w:val="00F53D9C"/>
    <w:rsid w:val="00F5592F"/>
    <w:rsid w:val="00F6409E"/>
    <w:rsid w:val="00F67332"/>
    <w:rsid w:val="00F73211"/>
    <w:rsid w:val="00F74D77"/>
    <w:rsid w:val="00F75EC2"/>
    <w:rsid w:val="00F77283"/>
    <w:rsid w:val="00F772C3"/>
    <w:rsid w:val="00F80338"/>
    <w:rsid w:val="00F81A93"/>
    <w:rsid w:val="00F84F93"/>
    <w:rsid w:val="00F8501D"/>
    <w:rsid w:val="00FA12B9"/>
    <w:rsid w:val="00FA78C0"/>
    <w:rsid w:val="00FB0C70"/>
    <w:rsid w:val="00FB7A38"/>
    <w:rsid w:val="00FC6A22"/>
    <w:rsid w:val="00FD0D54"/>
    <w:rsid w:val="00FD1B14"/>
    <w:rsid w:val="00FD1DC9"/>
    <w:rsid w:val="00FD29D5"/>
    <w:rsid w:val="00FE65F9"/>
    <w:rsid w:val="00FF49E8"/>
    <w:rsid w:val="00FF5F83"/>
    <w:rsid w:val="01454C21"/>
    <w:rsid w:val="02E828A9"/>
    <w:rsid w:val="02F8611F"/>
    <w:rsid w:val="0367315B"/>
    <w:rsid w:val="039452D6"/>
    <w:rsid w:val="061139E5"/>
    <w:rsid w:val="06F50B00"/>
    <w:rsid w:val="076E1278"/>
    <w:rsid w:val="081A08AE"/>
    <w:rsid w:val="081D6F74"/>
    <w:rsid w:val="087D5A4F"/>
    <w:rsid w:val="08D1141D"/>
    <w:rsid w:val="09130765"/>
    <w:rsid w:val="0B296DE2"/>
    <w:rsid w:val="0B721453"/>
    <w:rsid w:val="0D0126E0"/>
    <w:rsid w:val="0EFD592E"/>
    <w:rsid w:val="0FB5725B"/>
    <w:rsid w:val="0FB7670E"/>
    <w:rsid w:val="10294AA3"/>
    <w:rsid w:val="10E40CA0"/>
    <w:rsid w:val="12584C20"/>
    <w:rsid w:val="136130D9"/>
    <w:rsid w:val="13805E8A"/>
    <w:rsid w:val="13F26F49"/>
    <w:rsid w:val="14762538"/>
    <w:rsid w:val="14D568B5"/>
    <w:rsid w:val="1530409E"/>
    <w:rsid w:val="15800409"/>
    <w:rsid w:val="15AD01BA"/>
    <w:rsid w:val="16AE1C29"/>
    <w:rsid w:val="16B72867"/>
    <w:rsid w:val="173600E6"/>
    <w:rsid w:val="18DD4F7E"/>
    <w:rsid w:val="19544509"/>
    <w:rsid w:val="195B58A2"/>
    <w:rsid w:val="1989465C"/>
    <w:rsid w:val="19CC44B4"/>
    <w:rsid w:val="1A2360C8"/>
    <w:rsid w:val="1B6947A7"/>
    <w:rsid w:val="1CC40373"/>
    <w:rsid w:val="1E085A14"/>
    <w:rsid w:val="1E657D90"/>
    <w:rsid w:val="1ED93E25"/>
    <w:rsid w:val="1FF43DDB"/>
    <w:rsid w:val="20625E24"/>
    <w:rsid w:val="21933AA2"/>
    <w:rsid w:val="22B76993"/>
    <w:rsid w:val="22E07B9F"/>
    <w:rsid w:val="231F5346"/>
    <w:rsid w:val="2333574E"/>
    <w:rsid w:val="25BF356F"/>
    <w:rsid w:val="25DB0C2D"/>
    <w:rsid w:val="267F6210"/>
    <w:rsid w:val="269469E7"/>
    <w:rsid w:val="26EF5299"/>
    <w:rsid w:val="27981585"/>
    <w:rsid w:val="27E149AB"/>
    <w:rsid w:val="27EE0826"/>
    <w:rsid w:val="280F47C0"/>
    <w:rsid w:val="28D76D31"/>
    <w:rsid w:val="2998140D"/>
    <w:rsid w:val="29FC3B14"/>
    <w:rsid w:val="2A056A4F"/>
    <w:rsid w:val="2B11792E"/>
    <w:rsid w:val="2E666BF4"/>
    <w:rsid w:val="2F724BD0"/>
    <w:rsid w:val="2FC5779A"/>
    <w:rsid w:val="306A51FE"/>
    <w:rsid w:val="31C54755"/>
    <w:rsid w:val="31D23053"/>
    <w:rsid w:val="3216608C"/>
    <w:rsid w:val="328F13DA"/>
    <w:rsid w:val="34CE14C6"/>
    <w:rsid w:val="34D84CEC"/>
    <w:rsid w:val="35DC515B"/>
    <w:rsid w:val="37AF5AB7"/>
    <w:rsid w:val="38B038EE"/>
    <w:rsid w:val="39E568DF"/>
    <w:rsid w:val="3A387F18"/>
    <w:rsid w:val="3B1C3371"/>
    <w:rsid w:val="3CAE3A33"/>
    <w:rsid w:val="3CC23198"/>
    <w:rsid w:val="3DDF4815"/>
    <w:rsid w:val="3FE669E5"/>
    <w:rsid w:val="412A3E2C"/>
    <w:rsid w:val="41F32039"/>
    <w:rsid w:val="42C84A21"/>
    <w:rsid w:val="44B33DBE"/>
    <w:rsid w:val="44B70186"/>
    <w:rsid w:val="459C39D0"/>
    <w:rsid w:val="462A54F2"/>
    <w:rsid w:val="467A6FA2"/>
    <w:rsid w:val="486C4718"/>
    <w:rsid w:val="48BC1E8C"/>
    <w:rsid w:val="4A286FFC"/>
    <w:rsid w:val="4A344C53"/>
    <w:rsid w:val="4A6A5207"/>
    <w:rsid w:val="4B3B68BB"/>
    <w:rsid w:val="4B410375"/>
    <w:rsid w:val="4B876203"/>
    <w:rsid w:val="4D6C542D"/>
    <w:rsid w:val="504D156B"/>
    <w:rsid w:val="50F63E28"/>
    <w:rsid w:val="51C55ED2"/>
    <w:rsid w:val="5221007F"/>
    <w:rsid w:val="52926B5A"/>
    <w:rsid w:val="52B7258B"/>
    <w:rsid w:val="52F74B88"/>
    <w:rsid w:val="545C5E51"/>
    <w:rsid w:val="5486175B"/>
    <w:rsid w:val="56A70955"/>
    <w:rsid w:val="57667D24"/>
    <w:rsid w:val="57C67347"/>
    <w:rsid w:val="57CE5BC3"/>
    <w:rsid w:val="5960496F"/>
    <w:rsid w:val="5998493F"/>
    <w:rsid w:val="59B9557B"/>
    <w:rsid w:val="59C5385A"/>
    <w:rsid w:val="5A2D3E44"/>
    <w:rsid w:val="5A3260D4"/>
    <w:rsid w:val="5AD75FB8"/>
    <w:rsid w:val="5AE1516A"/>
    <w:rsid w:val="5B3226FA"/>
    <w:rsid w:val="5B6A3A79"/>
    <w:rsid w:val="5C1A5F7B"/>
    <w:rsid w:val="5D7A3273"/>
    <w:rsid w:val="5E2B4120"/>
    <w:rsid w:val="5F2F1663"/>
    <w:rsid w:val="601675AC"/>
    <w:rsid w:val="60342B61"/>
    <w:rsid w:val="628373EE"/>
    <w:rsid w:val="628D3982"/>
    <w:rsid w:val="62E96122"/>
    <w:rsid w:val="645771F8"/>
    <w:rsid w:val="652341F0"/>
    <w:rsid w:val="65D57404"/>
    <w:rsid w:val="66CC0AF0"/>
    <w:rsid w:val="67CE38BB"/>
    <w:rsid w:val="68246BFD"/>
    <w:rsid w:val="693C3D94"/>
    <w:rsid w:val="69962A8F"/>
    <w:rsid w:val="69F7285D"/>
    <w:rsid w:val="6A3E5143"/>
    <w:rsid w:val="6A54112D"/>
    <w:rsid w:val="6A701C86"/>
    <w:rsid w:val="6A9109B8"/>
    <w:rsid w:val="6AA035AE"/>
    <w:rsid w:val="6BCB034D"/>
    <w:rsid w:val="6C0E1756"/>
    <w:rsid w:val="6C2B2406"/>
    <w:rsid w:val="6D142E51"/>
    <w:rsid w:val="6D1B5A5A"/>
    <w:rsid w:val="6E0F2E14"/>
    <w:rsid w:val="6E71313D"/>
    <w:rsid w:val="6F1E141D"/>
    <w:rsid w:val="6F5354F8"/>
    <w:rsid w:val="70025A76"/>
    <w:rsid w:val="705A724A"/>
    <w:rsid w:val="71D648EC"/>
    <w:rsid w:val="727810B8"/>
    <w:rsid w:val="7293546A"/>
    <w:rsid w:val="72E05B2C"/>
    <w:rsid w:val="740A2BDE"/>
    <w:rsid w:val="751839E0"/>
    <w:rsid w:val="756178E9"/>
    <w:rsid w:val="75A1093B"/>
    <w:rsid w:val="75BE7C69"/>
    <w:rsid w:val="76274F93"/>
    <w:rsid w:val="79670CA0"/>
    <w:rsid w:val="79EB3F2F"/>
    <w:rsid w:val="79FD3C4B"/>
    <w:rsid w:val="7A1D7427"/>
    <w:rsid w:val="7B11789E"/>
    <w:rsid w:val="7D250FF6"/>
    <w:rsid w:val="7D602708"/>
    <w:rsid w:val="7DC94A0A"/>
    <w:rsid w:val="7E604868"/>
    <w:rsid w:val="7E7038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7249303-6E49-4581-B2D7-13271F0B148A}">
  <ds:schemaRefs/>
</ds:datastoreItem>
</file>