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2"/>
          <w:lang w:eastAsia="zh-CN"/>
        </w:rPr>
      </w:pPr>
      <w:r>
        <w:rPr>
          <w:rFonts w:hint="eastAsia"/>
          <w:b/>
          <w:bCs/>
          <w:sz w:val="32"/>
          <w:lang w:eastAsia="zh-CN"/>
        </w:rPr>
        <w:t>福建福海创石油化工有限公司</w:t>
      </w:r>
      <w:r>
        <w:rPr>
          <w:rFonts w:hint="eastAsia"/>
          <w:b/>
          <w:bCs/>
          <w:sz w:val="32"/>
          <w:lang w:val="en-US" w:eastAsia="zh-CN"/>
        </w:rPr>
        <w:t>1台高压防爆异步电动机</w:t>
      </w:r>
      <w:r>
        <w:rPr>
          <w:rFonts w:hint="eastAsia"/>
          <w:b/>
          <w:bCs/>
          <w:sz w:val="32"/>
          <w:lang w:eastAsia="zh-CN"/>
        </w:rPr>
        <w:t>采购项</w:t>
      </w:r>
      <w:r>
        <w:rPr>
          <w:b/>
          <w:bCs/>
          <w:sz w:val="32"/>
          <w:lang w:eastAsia="zh-CN"/>
        </w:rPr>
        <w:t>目</w:t>
      </w:r>
      <w:r>
        <w:rPr>
          <w:rFonts w:hint="eastAsia"/>
          <w:b/>
          <w:bCs/>
          <w:sz w:val="32"/>
          <w:lang w:eastAsia="zh-CN"/>
        </w:rPr>
        <w:t>比选公告</w:t>
      </w:r>
    </w:p>
    <w:p>
      <w:pPr>
        <w:pStyle w:val="21"/>
        <w:rPr>
          <w:b/>
          <w:sz w:val="28"/>
          <w:lang w:eastAsia="zh-CN"/>
        </w:rPr>
      </w:pPr>
    </w:p>
    <w:p>
      <w:pPr>
        <w:pStyle w:val="21"/>
        <w:keepNext w:val="0"/>
        <w:keepLines w:val="0"/>
        <w:pageBreakBefore w:val="0"/>
        <w:kinsoku/>
        <w:wordWrap/>
        <w:overflowPunct/>
        <w:topLinePunct w:val="0"/>
        <w:bidi w:val="0"/>
        <w:adjustRightInd/>
        <w:snapToGrid/>
        <w:spacing w:before="26" w:line="600" w:lineRule="exact"/>
        <w:ind w:right="121" w:firstLine="480" w:firstLineChars="200"/>
        <w:jc w:val="both"/>
        <w:rPr>
          <w:lang w:eastAsia="zh-CN"/>
        </w:rPr>
      </w:pPr>
      <w:r>
        <w:rPr>
          <w:rFonts w:hint="eastAsia"/>
          <w:lang w:eastAsia="zh-CN"/>
        </w:rPr>
        <w:t>福建福海创石油化工有限公司就“</w:t>
      </w:r>
      <w:r>
        <w:rPr>
          <w:rFonts w:hint="eastAsia"/>
          <w:color w:val="000000" w:themeColor="text1"/>
          <w:u w:val="single"/>
          <w:lang w:eastAsia="zh-CN"/>
        </w:rPr>
        <w:t>福建福海创石油化工有限公司</w:t>
      </w:r>
      <w:r>
        <w:rPr>
          <w:rFonts w:hint="eastAsia"/>
          <w:color w:val="000000" w:themeColor="text1"/>
          <w:u w:val="single"/>
          <w:lang w:val="en-US" w:eastAsia="zh-CN"/>
        </w:rPr>
        <w:t>1台高压防爆异步电动机</w:t>
      </w:r>
      <w:r>
        <w:rPr>
          <w:rFonts w:hint="eastAsia"/>
          <w:color w:val="000000" w:themeColor="text1"/>
          <w:u w:val="single"/>
          <w:lang w:eastAsia="zh-CN"/>
        </w:rPr>
        <w:t>采购项目（项目编号：QG2303130040）”</w:t>
      </w:r>
      <w:r>
        <w:rPr>
          <w:lang w:eastAsia="zh-CN"/>
        </w:rPr>
        <w:t>进行国内公开比选</w:t>
      </w:r>
      <w:r>
        <w:rPr>
          <w:rFonts w:hint="eastAsia"/>
          <w:lang w:eastAsia="zh-CN"/>
        </w:rPr>
        <w:t>，欢迎国内符合条件的供应商积极参选。</w:t>
      </w:r>
    </w:p>
    <w:p>
      <w:pPr>
        <w:keepNext w:val="0"/>
        <w:keepLines w:val="0"/>
        <w:pageBreakBefore w:val="0"/>
        <w:tabs>
          <w:tab w:val="left" w:pos="709"/>
        </w:tabs>
        <w:kinsoku/>
        <w:wordWrap/>
        <w:overflowPunct/>
        <w:topLinePunct w:val="0"/>
        <w:bidi w:val="0"/>
        <w:adjustRightInd/>
        <w:snapToGrid/>
        <w:spacing w:line="600" w:lineRule="exact"/>
        <w:ind w:firstLine="514" w:firstLineChars="200"/>
        <w:rPr>
          <w:b/>
          <w:snapToGrid w:val="0"/>
          <w:color w:val="000000" w:themeColor="text1"/>
          <w:spacing w:val="8"/>
          <w:sz w:val="24"/>
          <w:szCs w:val="24"/>
          <w:lang w:eastAsia="zh-CN"/>
        </w:rPr>
      </w:pPr>
      <w:r>
        <w:rPr>
          <w:b/>
          <w:snapToGrid w:val="0"/>
          <w:color w:val="000000" w:themeColor="text1"/>
          <w:spacing w:val="8"/>
          <w:sz w:val="24"/>
          <w:szCs w:val="24"/>
          <w:lang w:eastAsia="zh-CN"/>
        </w:rPr>
        <w:t>一</w:t>
      </w:r>
      <w:r>
        <w:rPr>
          <w:rFonts w:hint="eastAsia"/>
          <w:b/>
          <w:snapToGrid w:val="0"/>
          <w:color w:val="000000" w:themeColor="text1"/>
          <w:spacing w:val="8"/>
          <w:sz w:val="24"/>
          <w:szCs w:val="24"/>
          <w:lang w:eastAsia="zh-CN"/>
        </w:rPr>
        <w:t>、</w:t>
      </w:r>
      <w:r>
        <w:rPr>
          <w:b/>
          <w:snapToGrid w:val="0"/>
          <w:color w:val="000000" w:themeColor="text1"/>
          <w:spacing w:val="8"/>
          <w:sz w:val="24"/>
          <w:szCs w:val="24"/>
          <w:lang w:eastAsia="zh-CN"/>
        </w:rPr>
        <w:t>项目概况</w:t>
      </w:r>
    </w:p>
    <w:p>
      <w:pPr>
        <w:keepNext w:val="0"/>
        <w:keepLines w:val="0"/>
        <w:pageBreakBefore w:val="0"/>
        <w:tabs>
          <w:tab w:val="left" w:pos="709"/>
        </w:tabs>
        <w:kinsoku/>
        <w:wordWrap/>
        <w:overflowPunct/>
        <w:topLinePunct w:val="0"/>
        <w:bidi w:val="0"/>
        <w:adjustRightInd/>
        <w:snapToGrid/>
        <w:spacing w:line="600" w:lineRule="exact"/>
        <w:ind w:firstLine="480" w:firstLineChars="200"/>
        <w:rPr>
          <w:sz w:val="24"/>
          <w:szCs w:val="24"/>
          <w:lang w:eastAsia="zh-CN"/>
        </w:rPr>
      </w:pPr>
      <w:r>
        <w:rPr>
          <w:sz w:val="24"/>
          <w:szCs w:val="24"/>
          <w:lang w:eastAsia="zh-CN"/>
        </w:rPr>
        <w:t>1.</w:t>
      </w:r>
      <w:r>
        <w:rPr>
          <w:rFonts w:hint="eastAsia"/>
          <w:sz w:val="24"/>
          <w:szCs w:val="24"/>
          <w:lang w:eastAsia="zh-CN"/>
        </w:rPr>
        <w:t>项目名称：福建福海创石油化工有限公司</w:t>
      </w:r>
      <w:r>
        <w:rPr>
          <w:rFonts w:hint="eastAsia"/>
          <w:sz w:val="24"/>
          <w:szCs w:val="24"/>
          <w:lang w:val="en-US" w:eastAsia="zh-CN"/>
        </w:rPr>
        <w:t>1台高压防爆异步电动机</w:t>
      </w:r>
      <w:r>
        <w:rPr>
          <w:rFonts w:hint="eastAsia"/>
          <w:sz w:val="24"/>
          <w:szCs w:val="24"/>
          <w:lang w:eastAsia="zh-CN"/>
        </w:rPr>
        <w:t>采购项</w:t>
      </w:r>
      <w:r>
        <w:rPr>
          <w:sz w:val="24"/>
          <w:szCs w:val="24"/>
          <w:lang w:eastAsia="zh-CN"/>
        </w:rPr>
        <w:t>目</w:t>
      </w:r>
      <w:r>
        <w:rPr>
          <w:rFonts w:hint="eastAsia"/>
          <w:sz w:val="24"/>
          <w:szCs w:val="24"/>
          <w:lang w:eastAsia="zh-CN"/>
        </w:rPr>
        <w:t>。</w:t>
      </w:r>
    </w:p>
    <w:p>
      <w:pPr>
        <w:keepNext w:val="0"/>
        <w:keepLines w:val="0"/>
        <w:pageBreakBefore w:val="0"/>
        <w:tabs>
          <w:tab w:val="left" w:pos="709"/>
        </w:tabs>
        <w:kinsoku/>
        <w:wordWrap/>
        <w:overflowPunct/>
        <w:topLinePunct w:val="0"/>
        <w:bidi w:val="0"/>
        <w:adjustRightInd/>
        <w:snapToGrid/>
        <w:spacing w:line="600" w:lineRule="exact"/>
        <w:ind w:firstLine="480" w:firstLineChars="200"/>
        <w:rPr>
          <w:rFonts w:hint="default"/>
          <w:lang w:val="en-US" w:eastAsia="zh-CN"/>
        </w:rPr>
      </w:pPr>
      <w:r>
        <w:rPr>
          <w:sz w:val="24"/>
          <w:szCs w:val="24"/>
          <w:lang w:eastAsia="zh-CN"/>
        </w:rPr>
        <w:t>2.</w:t>
      </w:r>
      <w:r>
        <w:rPr>
          <w:rFonts w:hint="eastAsia"/>
          <w:sz w:val="24"/>
          <w:szCs w:val="24"/>
          <w:lang w:eastAsia="zh-CN"/>
        </w:rPr>
        <w:t>比选项目说明：</w:t>
      </w:r>
    </w:p>
    <w:tbl>
      <w:tblPr>
        <w:tblStyle w:val="47"/>
        <w:tblpPr w:leftFromText="180" w:rightFromText="180" w:vertAnchor="text" w:horzAnchor="page" w:tblpXSpec="center" w:tblpY="287"/>
        <w:tblOverlap w:val="never"/>
        <w:tblW w:w="8901" w:type="dxa"/>
        <w:tblInd w:w="-53" w:type="dxa"/>
        <w:tblLayout w:type="fixed"/>
        <w:tblCellMar>
          <w:top w:w="15" w:type="dxa"/>
          <w:left w:w="15" w:type="dxa"/>
          <w:bottom w:w="15" w:type="dxa"/>
          <w:right w:w="15" w:type="dxa"/>
        </w:tblCellMar>
      </w:tblPr>
      <w:tblGrid>
        <w:gridCol w:w="741"/>
        <w:gridCol w:w="1123"/>
        <w:gridCol w:w="1230"/>
        <w:gridCol w:w="4230"/>
        <w:gridCol w:w="600"/>
        <w:gridCol w:w="977"/>
      </w:tblGrid>
      <w:tr>
        <w:tblPrEx>
          <w:tblCellMar>
            <w:top w:w="15" w:type="dxa"/>
            <w:left w:w="15" w:type="dxa"/>
            <w:bottom w:w="15" w:type="dxa"/>
            <w:right w:w="15" w:type="dxa"/>
          </w:tblCellMar>
        </w:tblPrEx>
        <w:trPr>
          <w:trHeight w:val="645"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spacing w:line="600" w:lineRule="exact"/>
              <w:jc w:val="both"/>
              <w:textAlignment w:val="center"/>
              <w:rPr>
                <w:rFonts w:hint="default" w:ascii="宋体" w:hAnsi="宋体" w:eastAsia="宋体" w:cs="宋体"/>
                <w:color w:val="000000"/>
                <w:sz w:val="18"/>
                <w:szCs w:val="18"/>
                <w:lang w:val="en-US" w:eastAsia="zh-CN"/>
              </w:rPr>
            </w:pPr>
            <w:r>
              <w:rPr>
                <w:rFonts w:hint="eastAsia" w:cs="宋体"/>
                <w:color w:val="000000"/>
                <w:kern w:val="0"/>
                <w:sz w:val="18"/>
                <w:szCs w:val="18"/>
                <w:lang w:val="en-US" w:eastAsia="zh-CN" w:bidi="ar"/>
              </w:rPr>
              <w:t>序号</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spacing w:line="600" w:lineRule="exact"/>
              <w:ind w:firstLine="360" w:firstLineChars="200"/>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存货编码</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spacing w:line="600" w:lineRule="exact"/>
              <w:ind w:firstLine="360" w:firstLineChars="200"/>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存货名称</w:t>
            </w:r>
          </w:p>
        </w:tc>
        <w:tc>
          <w:tcPr>
            <w:tcW w:w="423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kinsoku/>
              <w:wordWrap/>
              <w:overflowPunct/>
              <w:topLinePunct w:val="0"/>
              <w:bidi w:val="0"/>
              <w:adjustRightInd/>
              <w:snapToGrid/>
              <w:spacing w:line="600" w:lineRule="exact"/>
              <w:ind w:firstLine="360" w:firstLineChars="200"/>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规格/</w:t>
            </w:r>
            <w:r>
              <w:rPr>
                <w:rFonts w:hint="eastAsia" w:ascii="宋体" w:hAnsi="宋体" w:cs="宋体"/>
                <w:color w:val="000000"/>
                <w:sz w:val="18"/>
                <w:szCs w:val="18"/>
              </w:rPr>
              <w:t>型号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spacing w:line="600" w:lineRule="exact"/>
              <w:jc w:val="both"/>
              <w:textAlignment w:val="center"/>
              <w:rPr>
                <w:rFonts w:ascii="宋体" w:hAnsi="宋体" w:cs="宋体"/>
                <w:color w:val="000000"/>
                <w:sz w:val="18"/>
                <w:szCs w:val="18"/>
              </w:rPr>
            </w:pPr>
            <w:r>
              <w:rPr>
                <w:rFonts w:hint="eastAsia" w:ascii="宋体" w:hAnsi="宋体" w:cs="宋体"/>
                <w:color w:val="000000"/>
                <w:kern w:val="0"/>
                <w:sz w:val="18"/>
                <w:szCs w:val="18"/>
                <w:lang w:bidi="ar"/>
              </w:rPr>
              <w:t>单位</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adjustRightInd/>
              <w:snapToGrid/>
              <w:spacing w:line="600" w:lineRule="exact"/>
              <w:ind w:firstLine="360" w:firstLineChars="200"/>
              <w:jc w:val="center"/>
              <w:textAlignment w:val="center"/>
              <w:rPr>
                <w:rFonts w:ascii="宋体" w:hAnsi="宋体" w:cs="宋体"/>
                <w:color w:val="FF0000"/>
                <w:sz w:val="18"/>
                <w:szCs w:val="18"/>
              </w:rPr>
            </w:pPr>
            <w:r>
              <w:rPr>
                <w:rFonts w:hint="eastAsia" w:ascii="宋体" w:hAnsi="宋体" w:cs="宋体"/>
                <w:color w:val="000000" w:themeColor="text1"/>
                <w:kern w:val="0"/>
                <w:sz w:val="18"/>
                <w:szCs w:val="18"/>
                <w:lang w:bidi="ar"/>
              </w:rPr>
              <w:t>数量</w:t>
            </w:r>
          </w:p>
        </w:tc>
      </w:tr>
      <w:tr>
        <w:tblPrEx>
          <w:tblCellMar>
            <w:top w:w="15" w:type="dxa"/>
            <w:left w:w="15" w:type="dxa"/>
            <w:bottom w:w="15" w:type="dxa"/>
            <w:right w:w="15" w:type="dxa"/>
          </w:tblCellMar>
        </w:tblPrEx>
        <w:trPr>
          <w:trHeight w:val="706"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spacing w:line="600" w:lineRule="exact"/>
              <w:ind w:firstLine="360" w:firstLineChars="200"/>
              <w:jc w:val="center"/>
              <w:textAlignment w:val="top"/>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spacing w:line="600" w:lineRule="exact"/>
              <w:jc w:val="both"/>
              <w:textAlignment w:val="top"/>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2201120006</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spacing w:line="600" w:lineRule="exact"/>
              <w:ind w:firstLine="360" w:firstLineChars="200"/>
              <w:jc w:val="center"/>
              <w:textAlignment w:val="top"/>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高压防爆异步电动机</w:t>
            </w:r>
          </w:p>
        </w:tc>
        <w:tc>
          <w:tcPr>
            <w:tcW w:w="423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spacing w:line="600" w:lineRule="exact"/>
              <w:ind w:firstLine="360" w:firstLineChars="200"/>
              <w:jc w:val="center"/>
              <w:textAlignment w:val="top"/>
              <w:rPr>
                <w:rFonts w:hint="default" w:ascii="宋体" w:hAnsi="宋体" w:eastAsia="宋体" w:cs="宋体"/>
                <w:i w:val="0"/>
                <w:iCs w:val="0"/>
                <w:color w:val="000000"/>
                <w:kern w:val="0"/>
                <w:sz w:val="18"/>
                <w:szCs w:val="18"/>
                <w:u w:val="none"/>
                <w:lang w:val="en-US" w:eastAsia="zh-CN" w:bidi="ar"/>
              </w:rPr>
            </w:pPr>
            <w:r>
              <w:rPr>
                <w:rFonts w:hint="eastAsia" w:cs="宋体"/>
                <w:i w:val="0"/>
                <w:iCs w:val="0"/>
                <w:color w:val="000000"/>
                <w:kern w:val="0"/>
                <w:sz w:val="18"/>
                <w:szCs w:val="18"/>
                <w:u w:val="none"/>
                <w:lang w:val="en-US" w:eastAsia="zh-CN" w:bidi="ar"/>
              </w:rPr>
              <w:t>额定电压：10kV 额定功率：1250kW/ 级数：2级/接线方式：Y接/防护等级：IP55/绝缘等级：F级\技术规格书\需签技术协议</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spacing w:line="600" w:lineRule="exact"/>
              <w:ind w:firstLine="360" w:firstLineChars="200"/>
              <w:jc w:val="center"/>
              <w:textAlignment w:val="top"/>
              <w:rPr>
                <w:rFonts w:hint="eastAsia" w:ascii="宋体" w:hAnsi="宋体" w:eastAsia="宋体" w:cs="宋体"/>
                <w:i w:val="0"/>
                <w:iCs w:val="0"/>
                <w:color w:val="000000"/>
                <w:kern w:val="0"/>
                <w:sz w:val="18"/>
                <w:szCs w:val="18"/>
                <w:u w:val="none"/>
                <w:lang w:val="en-US" w:eastAsia="zh-CN" w:bidi="ar"/>
              </w:rPr>
            </w:pPr>
            <w:r>
              <w:rPr>
                <w:rFonts w:hint="eastAsia" w:cs="宋体"/>
                <w:i w:val="0"/>
                <w:iCs w:val="0"/>
                <w:color w:val="000000"/>
                <w:kern w:val="0"/>
                <w:sz w:val="18"/>
                <w:szCs w:val="18"/>
                <w:u w:val="none"/>
                <w:lang w:val="en-US" w:eastAsia="zh-CN" w:bidi="ar"/>
              </w:rPr>
              <w:t>台</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spacing w:line="600" w:lineRule="exact"/>
              <w:ind w:firstLine="360" w:firstLineChars="200"/>
              <w:jc w:val="center"/>
              <w:textAlignment w:val="top"/>
              <w:rPr>
                <w:rFonts w:hint="default" w:ascii="宋体" w:hAnsi="宋体" w:eastAsia="宋体" w:cs="宋体"/>
                <w:i w:val="0"/>
                <w:iCs w:val="0"/>
                <w:color w:val="auto"/>
                <w:kern w:val="0"/>
                <w:sz w:val="18"/>
                <w:szCs w:val="18"/>
                <w:u w:val="none"/>
                <w:lang w:val="en-US" w:eastAsia="zh-CN" w:bidi="ar"/>
              </w:rPr>
            </w:pPr>
            <w:r>
              <w:rPr>
                <w:rFonts w:hint="eastAsia" w:cs="宋体"/>
                <w:i w:val="0"/>
                <w:iCs w:val="0"/>
                <w:color w:val="auto"/>
                <w:kern w:val="0"/>
                <w:sz w:val="18"/>
                <w:szCs w:val="18"/>
                <w:u w:val="none"/>
                <w:lang w:val="en-US" w:eastAsia="zh-CN" w:bidi="ar"/>
              </w:rPr>
              <w:t>1</w:t>
            </w:r>
          </w:p>
        </w:tc>
      </w:tr>
    </w:tbl>
    <w:p>
      <w:pPr>
        <w:keepNext w:val="0"/>
        <w:keepLines w:val="0"/>
        <w:pageBreakBefore w:val="0"/>
        <w:tabs>
          <w:tab w:val="left" w:pos="709"/>
        </w:tabs>
        <w:kinsoku/>
        <w:wordWrap/>
        <w:overflowPunct/>
        <w:topLinePunct w:val="0"/>
        <w:bidi w:val="0"/>
        <w:adjustRightInd/>
        <w:snapToGrid/>
        <w:spacing w:line="600" w:lineRule="exact"/>
        <w:ind w:firstLine="480" w:firstLineChars="200"/>
        <w:rPr>
          <w:sz w:val="24"/>
          <w:szCs w:val="24"/>
          <w:lang w:eastAsia="zh-CN"/>
        </w:rPr>
      </w:pPr>
    </w:p>
    <w:p>
      <w:pPr>
        <w:keepNext w:val="0"/>
        <w:keepLines w:val="0"/>
        <w:pageBreakBefore w:val="0"/>
        <w:numPr>
          <w:ilvl w:val="0"/>
          <w:numId w:val="0"/>
        </w:numPr>
        <w:tabs>
          <w:tab w:val="left" w:pos="709"/>
        </w:tabs>
        <w:kinsoku/>
        <w:wordWrap/>
        <w:overflowPunct/>
        <w:topLinePunct w:val="0"/>
        <w:bidi w:val="0"/>
        <w:adjustRightInd/>
        <w:snapToGrid/>
        <w:spacing w:line="600" w:lineRule="exact"/>
        <w:ind w:firstLine="480" w:firstLineChars="200"/>
        <w:rPr>
          <w:rFonts w:hint="eastAsia" w:ascii="宋体" w:hAnsi="宋体"/>
          <w:b w:val="0"/>
          <w:bCs w:val="0"/>
          <w:sz w:val="24"/>
        </w:rPr>
      </w:pPr>
      <w:r>
        <w:rPr>
          <w:rFonts w:hint="eastAsia"/>
          <w:b w:val="0"/>
          <w:bCs w:val="0"/>
          <w:sz w:val="24"/>
          <w:lang w:val="en-US" w:eastAsia="zh-CN"/>
        </w:rPr>
        <w:t>3.</w:t>
      </w:r>
      <w:r>
        <w:rPr>
          <w:rFonts w:hint="eastAsia" w:ascii="宋体" w:hAnsi="宋体"/>
          <w:b w:val="0"/>
          <w:bCs w:val="0"/>
          <w:sz w:val="24"/>
        </w:rPr>
        <w:t>付款方式</w:t>
      </w:r>
      <w:r>
        <w:rPr>
          <w:rFonts w:hint="eastAsia"/>
          <w:b w:val="0"/>
          <w:bCs w:val="0"/>
          <w:sz w:val="24"/>
          <w:lang w:val="en-US" w:eastAsia="zh-CN"/>
        </w:rPr>
        <w:t>要求</w:t>
      </w:r>
      <w:r>
        <w:rPr>
          <w:rFonts w:hint="eastAsia" w:ascii="宋体" w:hAnsi="宋体"/>
          <w:b w:val="0"/>
          <w:bCs w:val="0"/>
          <w:sz w:val="24"/>
        </w:rPr>
        <w:t>：</w:t>
      </w:r>
      <w:r>
        <w:rPr>
          <w:rFonts w:hint="eastAsia"/>
          <w:b w:val="0"/>
          <w:bCs w:val="0"/>
          <w:sz w:val="24"/>
          <w:lang w:val="en-US" w:eastAsia="zh-CN"/>
        </w:rPr>
        <w:t>无预付款。</w:t>
      </w:r>
      <w:r>
        <w:rPr>
          <w:rFonts w:hint="eastAsia" w:ascii="宋体" w:hAnsi="宋体"/>
          <w:b w:val="0"/>
          <w:bCs w:val="0"/>
          <w:sz w:val="24"/>
        </w:rPr>
        <w:t>全部货款以现汇支付</w:t>
      </w:r>
      <w:r>
        <w:rPr>
          <w:rFonts w:hint="eastAsia"/>
          <w:b w:val="0"/>
          <w:bCs w:val="0"/>
          <w:sz w:val="24"/>
          <w:lang w:eastAsia="zh-CN"/>
        </w:rPr>
        <w:t>，</w:t>
      </w:r>
      <w:r>
        <w:rPr>
          <w:rFonts w:hint="eastAsia" w:ascii="宋体" w:hAnsi="宋体"/>
          <w:b w:val="0"/>
          <w:bCs w:val="0"/>
          <w:sz w:val="24"/>
        </w:rPr>
        <w:t>货到验收合格付9</w:t>
      </w:r>
      <w:r>
        <w:rPr>
          <w:rFonts w:hint="eastAsia" w:ascii="宋体" w:hAnsi="宋体"/>
          <w:b w:val="0"/>
          <w:bCs w:val="0"/>
          <w:sz w:val="24"/>
          <w:lang w:val="en-US" w:eastAsia="zh-CN"/>
        </w:rPr>
        <w:t>0</w:t>
      </w:r>
      <w:r>
        <w:rPr>
          <w:rFonts w:hint="eastAsia" w:ascii="宋体" w:hAnsi="宋体"/>
          <w:b w:val="0"/>
          <w:bCs w:val="0"/>
          <w:sz w:val="24"/>
        </w:rPr>
        <w:t>%，质保金</w:t>
      </w:r>
      <w:r>
        <w:rPr>
          <w:rFonts w:hint="eastAsia" w:ascii="宋体" w:hAnsi="宋体"/>
          <w:b w:val="0"/>
          <w:bCs w:val="0"/>
          <w:sz w:val="24"/>
          <w:lang w:val="en-US" w:eastAsia="zh-CN"/>
        </w:rPr>
        <w:t>10</w:t>
      </w:r>
      <w:r>
        <w:rPr>
          <w:rFonts w:hint="eastAsia" w:ascii="宋体" w:hAnsi="宋体"/>
          <w:b w:val="0"/>
          <w:bCs w:val="0"/>
          <w:sz w:val="24"/>
        </w:rPr>
        <w:t>%（质保期以</w:t>
      </w:r>
      <w:r>
        <w:rPr>
          <w:rFonts w:hint="eastAsia"/>
          <w:b w:val="0"/>
          <w:bCs w:val="0"/>
          <w:sz w:val="24"/>
          <w:lang w:val="en-US" w:eastAsia="zh-CN"/>
        </w:rPr>
        <w:t>最终双方签定的技术协议为准</w:t>
      </w:r>
      <w:r>
        <w:rPr>
          <w:rFonts w:hint="eastAsia" w:ascii="宋体" w:hAnsi="宋体"/>
          <w:b w:val="0"/>
          <w:bCs w:val="0"/>
          <w:sz w:val="24"/>
        </w:rPr>
        <w:t>）。</w:t>
      </w:r>
    </w:p>
    <w:p>
      <w:pPr>
        <w:keepNext w:val="0"/>
        <w:keepLines w:val="0"/>
        <w:pageBreakBefore w:val="0"/>
        <w:tabs>
          <w:tab w:val="left" w:pos="709"/>
        </w:tabs>
        <w:kinsoku/>
        <w:wordWrap/>
        <w:overflowPunct/>
        <w:topLinePunct w:val="0"/>
        <w:bidi w:val="0"/>
        <w:adjustRightInd/>
        <w:snapToGrid/>
        <w:spacing w:line="600" w:lineRule="exact"/>
        <w:ind w:firstLine="480" w:firstLineChars="200"/>
        <w:rPr>
          <w:sz w:val="24"/>
          <w:szCs w:val="24"/>
          <w:lang w:eastAsia="zh-CN"/>
        </w:rPr>
      </w:pPr>
      <w:r>
        <w:rPr>
          <w:rFonts w:hint="eastAsia"/>
          <w:sz w:val="24"/>
          <w:szCs w:val="24"/>
          <w:lang w:val="en-US" w:eastAsia="zh-CN"/>
        </w:rPr>
        <w:t>4.本项目设置最高控制价50万元整（含税包干总价）。</w:t>
      </w:r>
    </w:p>
    <w:p>
      <w:pPr>
        <w:keepNext w:val="0"/>
        <w:keepLines w:val="0"/>
        <w:pageBreakBefore w:val="0"/>
        <w:tabs>
          <w:tab w:val="left" w:pos="709"/>
        </w:tabs>
        <w:kinsoku/>
        <w:wordWrap/>
        <w:overflowPunct/>
        <w:topLinePunct w:val="0"/>
        <w:bidi w:val="0"/>
        <w:adjustRightInd/>
        <w:snapToGrid/>
        <w:spacing w:line="600" w:lineRule="exact"/>
        <w:ind w:firstLine="514" w:firstLineChars="200"/>
        <w:rPr>
          <w:b/>
          <w:snapToGrid w:val="0"/>
          <w:color w:val="000000" w:themeColor="text1"/>
          <w:spacing w:val="8"/>
          <w:sz w:val="24"/>
          <w:szCs w:val="24"/>
          <w:lang w:eastAsia="zh-CN"/>
        </w:rPr>
      </w:pPr>
      <w:r>
        <w:rPr>
          <w:b/>
          <w:snapToGrid w:val="0"/>
          <w:color w:val="000000" w:themeColor="text1"/>
          <w:spacing w:val="8"/>
          <w:sz w:val="24"/>
          <w:szCs w:val="24"/>
          <w:lang w:eastAsia="zh-CN"/>
        </w:rPr>
        <w:t>二、参选人资格要求</w:t>
      </w:r>
    </w:p>
    <w:p>
      <w:pPr>
        <w:keepNext w:val="0"/>
        <w:keepLines w:val="0"/>
        <w:pageBreakBefore w:val="0"/>
        <w:tabs>
          <w:tab w:val="left" w:pos="709"/>
        </w:tabs>
        <w:kinsoku/>
        <w:wordWrap/>
        <w:overflowPunct/>
        <w:topLinePunct w:val="0"/>
        <w:bidi w:val="0"/>
        <w:adjustRightInd/>
        <w:snapToGrid/>
        <w:spacing w:line="600" w:lineRule="exact"/>
        <w:ind w:firstLine="480" w:firstLineChars="200"/>
        <w:rPr>
          <w:sz w:val="24"/>
          <w:szCs w:val="24"/>
          <w:lang w:eastAsia="zh-CN"/>
        </w:rPr>
      </w:pPr>
      <w:r>
        <w:rPr>
          <w:rFonts w:hint="eastAsia"/>
          <w:sz w:val="24"/>
          <w:szCs w:val="24"/>
          <w:lang w:eastAsia="zh-CN"/>
        </w:rPr>
        <w:t>1.参选人必须具备有效的企业法人营业执照，</w:t>
      </w:r>
      <w:r>
        <w:rPr>
          <w:rFonts w:hint="eastAsia"/>
          <w:color w:val="000000"/>
          <w:sz w:val="24"/>
          <w:szCs w:val="24"/>
          <w:lang w:eastAsia="zh-CN"/>
        </w:rPr>
        <w:t>参选单位应是具备独立法人资格且有能力按我司需求提供货物及服务的</w:t>
      </w:r>
      <w:r>
        <w:rPr>
          <w:rFonts w:hint="eastAsia"/>
          <w:color w:val="000000"/>
          <w:sz w:val="24"/>
          <w:szCs w:val="24"/>
          <w:lang w:val="en-US" w:eastAsia="zh-CN"/>
        </w:rPr>
        <w:t>厂商</w:t>
      </w:r>
      <w:r>
        <w:rPr>
          <w:rFonts w:hint="eastAsia"/>
          <w:color w:val="000000"/>
          <w:sz w:val="24"/>
          <w:szCs w:val="24"/>
          <w:lang w:eastAsia="zh-CN"/>
        </w:rPr>
        <w:t>。</w:t>
      </w:r>
    </w:p>
    <w:p>
      <w:pPr>
        <w:pStyle w:val="203"/>
        <w:keepNext w:val="0"/>
        <w:keepLines w:val="0"/>
        <w:pageBreakBefore w:val="0"/>
        <w:kinsoku/>
        <w:wordWrap/>
        <w:overflowPunct/>
        <w:topLinePunct w:val="0"/>
        <w:bidi w:val="0"/>
        <w:adjustRightInd/>
        <w:snapToGrid/>
        <w:spacing w:line="600" w:lineRule="exact"/>
        <w:ind w:firstLine="480" w:firstLineChars="200"/>
        <w:rPr>
          <w:sz w:val="24"/>
          <w:szCs w:val="24"/>
        </w:rPr>
      </w:pPr>
      <w:r>
        <w:rPr>
          <w:color w:val="000000" w:themeColor="text1"/>
          <w:sz w:val="24"/>
          <w:szCs w:val="24"/>
        </w:rPr>
        <w:t>2</w:t>
      </w:r>
      <w:r>
        <w:rPr>
          <w:rFonts w:hint="eastAsia"/>
          <w:color w:val="000000" w:themeColor="text1"/>
          <w:sz w:val="24"/>
          <w:szCs w:val="24"/>
        </w:rPr>
        <w:t>.</w:t>
      </w:r>
      <w:r>
        <w:rPr>
          <w:sz w:val="24"/>
          <w:szCs w:val="24"/>
        </w:rPr>
        <w:t xml:space="preserve"> 单位负责人为同一人或者存在控股、管理关系的不同单位不得同时参加本项目的比选；</w:t>
      </w:r>
      <w:r>
        <w:rPr>
          <w:color w:val="000000" w:themeColor="text1"/>
          <w:sz w:val="24"/>
          <w:szCs w:val="24"/>
        </w:rPr>
        <w:t>参选人没有失信黑名单记录（以最高院失信被执行人系统发布信息为准）</w:t>
      </w:r>
      <w:r>
        <w:rPr>
          <w:rFonts w:hint="eastAsia"/>
          <w:color w:val="000000" w:themeColor="text1"/>
          <w:sz w:val="24"/>
          <w:szCs w:val="24"/>
        </w:rPr>
        <w:t>，</w:t>
      </w:r>
      <w:r>
        <w:rPr>
          <w:color w:val="000000" w:themeColor="text1"/>
          <w:sz w:val="24"/>
          <w:szCs w:val="24"/>
        </w:rPr>
        <w:t>与</w:t>
      </w:r>
      <w:r>
        <w:rPr>
          <w:rFonts w:hint="eastAsia"/>
          <w:color w:val="000000" w:themeColor="text1"/>
          <w:sz w:val="24"/>
          <w:szCs w:val="24"/>
        </w:rPr>
        <w:t>比选人</w:t>
      </w:r>
      <w:r>
        <w:rPr>
          <w:color w:val="000000" w:themeColor="text1"/>
          <w:sz w:val="24"/>
          <w:szCs w:val="24"/>
        </w:rPr>
        <w:t>无诉讼纠纷</w:t>
      </w:r>
      <w:r>
        <w:rPr>
          <w:rFonts w:hint="eastAsia"/>
          <w:color w:val="000000" w:themeColor="text1"/>
          <w:sz w:val="24"/>
          <w:szCs w:val="24"/>
        </w:rPr>
        <w:t>。</w:t>
      </w:r>
    </w:p>
    <w:p>
      <w:pPr>
        <w:keepNext w:val="0"/>
        <w:keepLines w:val="0"/>
        <w:pageBreakBefore w:val="0"/>
        <w:tabs>
          <w:tab w:val="left" w:pos="709"/>
        </w:tabs>
        <w:kinsoku/>
        <w:wordWrap/>
        <w:overflowPunct/>
        <w:topLinePunct w:val="0"/>
        <w:bidi w:val="0"/>
        <w:adjustRightInd/>
        <w:snapToGrid/>
        <w:spacing w:line="600" w:lineRule="exact"/>
        <w:ind w:firstLine="514" w:firstLineChars="20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三、获取比选文件</w:t>
      </w:r>
    </w:p>
    <w:p>
      <w:pPr>
        <w:keepNext w:val="0"/>
        <w:keepLines w:val="0"/>
        <w:pageBreakBefore w:val="0"/>
        <w:tabs>
          <w:tab w:val="left" w:pos="709"/>
        </w:tabs>
        <w:kinsoku/>
        <w:wordWrap/>
        <w:overflowPunct/>
        <w:topLinePunct w:val="0"/>
        <w:bidi w:val="0"/>
        <w:adjustRightInd/>
        <w:snapToGrid/>
        <w:spacing w:line="600" w:lineRule="exact"/>
        <w:ind w:firstLine="480" w:firstLineChars="200"/>
        <w:rPr>
          <w:color w:val="000000" w:themeColor="text1"/>
          <w:sz w:val="24"/>
          <w:szCs w:val="24"/>
          <w:lang w:eastAsia="zh-CN"/>
        </w:rPr>
      </w:pPr>
      <w:r>
        <w:rPr>
          <w:rFonts w:hint="eastAsia"/>
          <w:color w:val="000000" w:themeColor="text1"/>
          <w:sz w:val="24"/>
          <w:szCs w:val="24"/>
          <w:lang w:eastAsia="zh-CN"/>
        </w:rPr>
        <w:t>1</w:t>
      </w:r>
      <w:r>
        <w:rPr>
          <w:color w:val="000000" w:themeColor="text1"/>
          <w:sz w:val="24"/>
          <w:szCs w:val="24"/>
          <w:lang w:eastAsia="zh-CN"/>
        </w:rPr>
        <w:t>.</w:t>
      </w:r>
      <w:r>
        <w:rPr>
          <w:rFonts w:hint="eastAsia"/>
          <w:color w:val="000000" w:themeColor="text1"/>
          <w:sz w:val="24"/>
          <w:szCs w:val="24"/>
          <w:lang w:eastAsia="zh-CN"/>
        </w:rPr>
        <w:t>报名时间：202</w:t>
      </w:r>
      <w:r>
        <w:rPr>
          <w:rFonts w:hint="eastAsia"/>
          <w:color w:val="000000" w:themeColor="text1"/>
          <w:sz w:val="24"/>
          <w:szCs w:val="24"/>
          <w:lang w:val="en-US" w:eastAsia="zh-CN"/>
        </w:rPr>
        <w:t>3</w:t>
      </w:r>
      <w:r>
        <w:rPr>
          <w:rFonts w:hint="eastAsia"/>
          <w:color w:val="000000" w:themeColor="text1"/>
          <w:sz w:val="24"/>
          <w:szCs w:val="24"/>
          <w:lang w:eastAsia="zh-CN"/>
        </w:rPr>
        <w:t>年  月  日至202</w:t>
      </w:r>
      <w:r>
        <w:rPr>
          <w:rFonts w:hint="eastAsia"/>
          <w:color w:val="000000" w:themeColor="text1"/>
          <w:sz w:val="24"/>
          <w:szCs w:val="24"/>
          <w:lang w:val="en-US" w:eastAsia="zh-CN"/>
        </w:rPr>
        <w:t>3</w:t>
      </w:r>
      <w:r>
        <w:rPr>
          <w:rFonts w:hint="eastAsia"/>
          <w:color w:val="000000" w:themeColor="text1"/>
          <w:sz w:val="24"/>
          <w:szCs w:val="24"/>
          <w:lang w:eastAsia="zh-CN"/>
        </w:rPr>
        <w:t>年  月  日（共</w:t>
      </w:r>
      <w:r>
        <w:rPr>
          <w:color w:val="000000" w:themeColor="text1"/>
          <w:sz w:val="24"/>
          <w:szCs w:val="24"/>
          <w:lang w:eastAsia="zh-CN"/>
        </w:rPr>
        <w:t>10</w:t>
      </w:r>
      <w:r>
        <w:rPr>
          <w:rFonts w:hint="eastAsia"/>
          <w:color w:val="000000" w:themeColor="text1"/>
          <w:sz w:val="24"/>
          <w:szCs w:val="24"/>
          <w:lang w:eastAsia="zh-CN"/>
        </w:rPr>
        <w:t>天）。</w:t>
      </w:r>
    </w:p>
    <w:p>
      <w:pPr>
        <w:keepNext w:val="0"/>
        <w:keepLines w:val="0"/>
        <w:pageBreakBefore w:val="0"/>
        <w:tabs>
          <w:tab w:val="left" w:pos="709"/>
        </w:tabs>
        <w:kinsoku/>
        <w:wordWrap/>
        <w:overflowPunct/>
        <w:topLinePunct w:val="0"/>
        <w:bidi w:val="0"/>
        <w:adjustRightInd/>
        <w:snapToGrid/>
        <w:spacing w:line="600" w:lineRule="exact"/>
        <w:ind w:firstLine="480" w:firstLineChars="200"/>
        <w:rPr>
          <w:color w:val="000000" w:themeColor="text1"/>
          <w:sz w:val="24"/>
          <w:szCs w:val="24"/>
          <w:lang w:eastAsia="zh-CN"/>
        </w:rPr>
      </w:pPr>
      <w:r>
        <w:rPr>
          <w:rFonts w:hint="eastAsia"/>
          <w:color w:val="000000" w:themeColor="text1"/>
          <w:sz w:val="24"/>
          <w:szCs w:val="24"/>
          <w:lang w:eastAsia="zh-CN"/>
        </w:rPr>
        <w:t>2</w:t>
      </w:r>
      <w:r>
        <w:rPr>
          <w:color w:val="000000" w:themeColor="text1"/>
          <w:sz w:val="24"/>
          <w:szCs w:val="24"/>
          <w:lang w:eastAsia="zh-CN"/>
        </w:rPr>
        <w:t>.</w:t>
      </w:r>
      <w:r>
        <w:rPr>
          <w:rFonts w:hint="eastAsia"/>
          <w:color w:val="000000" w:themeColor="text1"/>
          <w:sz w:val="24"/>
          <w:szCs w:val="24"/>
          <w:lang w:eastAsia="zh-CN"/>
        </w:rPr>
        <w:t>报名方式：参选人在报名时间内将报名文件发送至邮箱</w:t>
      </w:r>
      <w:r>
        <w:rPr>
          <w:rFonts w:hint="eastAsia"/>
          <w:color w:val="000000" w:themeColor="text1"/>
          <w:sz w:val="24"/>
          <w:szCs w:val="24"/>
          <w:lang w:val="en-US" w:eastAsia="zh-CN"/>
        </w:rPr>
        <w:t>xumx</w:t>
      </w:r>
      <w:r>
        <w:rPr>
          <w:rFonts w:hint="eastAsia"/>
          <w:color w:val="000000" w:themeColor="text1"/>
          <w:sz w:val="24"/>
          <w:szCs w:val="24"/>
          <w:lang w:eastAsia="zh-CN"/>
        </w:rPr>
        <w:t>@fhcpec.com.cn，报名文件包含：</w:t>
      </w:r>
    </w:p>
    <w:p>
      <w:pPr>
        <w:keepNext w:val="0"/>
        <w:keepLines w:val="0"/>
        <w:pageBreakBefore w:val="0"/>
        <w:tabs>
          <w:tab w:val="left" w:pos="709"/>
        </w:tabs>
        <w:kinsoku/>
        <w:wordWrap/>
        <w:overflowPunct/>
        <w:topLinePunct w:val="0"/>
        <w:bidi w:val="0"/>
        <w:adjustRightInd/>
        <w:snapToGrid/>
        <w:spacing w:line="600" w:lineRule="exact"/>
        <w:ind w:firstLine="480" w:firstLineChars="200"/>
        <w:rPr>
          <w:color w:val="000000" w:themeColor="text1"/>
          <w:sz w:val="24"/>
          <w:szCs w:val="24"/>
          <w:lang w:eastAsia="zh-CN"/>
        </w:rPr>
      </w:pPr>
      <w:r>
        <w:rPr>
          <w:rFonts w:hint="eastAsia"/>
          <w:color w:val="000000" w:themeColor="text1"/>
          <w:sz w:val="24"/>
          <w:szCs w:val="24"/>
          <w:lang w:eastAsia="zh-CN"/>
        </w:rPr>
        <w:t>（1）法定代表人身份证复印件（正反面）（加盖单位公章的扫描件）；</w:t>
      </w:r>
    </w:p>
    <w:p>
      <w:pPr>
        <w:keepNext w:val="0"/>
        <w:keepLines w:val="0"/>
        <w:pageBreakBefore w:val="0"/>
        <w:tabs>
          <w:tab w:val="left" w:pos="709"/>
        </w:tabs>
        <w:kinsoku/>
        <w:wordWrap/>
        <w:overflowPunct/>
        <w:topLinePunct w:val="0"/>
        <w:bidi w:val="0"/>
        <w:adjustRightInd/>
        <w:snapToGrid/>
        <w:spacing w:line="600" w:lineRule="exact"/>
        <w:ind w:firstLine="480" w:firstLineChars="200"/>
        <w:rPr>
          <w:color w:val="000000" w:themeColor="text1"/>
          <w:sz w:val="24"/>
          <w:szCs w:val="24"/>
          <w:lang w:eastAsia="zh-CN"/>
        </w:rPr>
      </w:pPr>
      <w:r>
        <w:rPr>
          <w:rFonts w:hint="eastAsia"/>
          <w:color w:val="000000" w:themeColor="text1"/>
          <w:sz w:val="24"/>
          <w:szCs w:val="24"/>
          <w:lang w:eastAsia="zh-CN"/>
        </w:rPr>
        <w:t>（2）营业执照（加盖单位公章的扫描件）；</w:t>
      </w:r>
    </w:p>
    <w:p>
      <w:pPr>
        <w:keepNext w:val="0"/>
        <w:keepLines w:val="0"/>
        <w:pageBreakBefore w:val="0"/>
        <w:tabs>
          <w:tab w:val="left" w:pos="709"/>
        </w:tabs>
        <w:kinsoku/>
        <w:wordWrap/>
        <w:overflowPunct/>
        <w:topLinePunct w:val="0"/>
        <w:bidi w:val="0"/>
        <w:adjustRightInd/>
        <w:snapToGrid/>
        <w:spacing w:line="600" w:lineRule="exact"/>
        <w:ind w:firstLine="480" w:firstLineChars="200"/>
        <w:rPr>
          <w:color w:val="000000" w:themeColor="text1"/>
          <w:sz w:val="24"/>
          <w:szCs w:val="24"/>
          <w:lang w:eastAsia="zh-CN"/>
        </w:rPr>
      </w:pPr>
      <w:r>
        <w:rPr>
          <w:rFonts w:hint="eastAsia"/>
          <w:color w:val="000000" w:themeColor="text1"/>
          <w:sz w:val="24"/>
          <w:szCs w:val="24"/>
          <w:lang w:eastAsia="zh-CN"/>
        </w:rPr>
        <w:t>（3）资质文件及相关业绩(业绩</w:t>
      </w:r>
      <w:r>
        <w:rPr>
          <w:rFonts w:ascii="Arial" w:hAnsi="Arial" w:cs="Arial"/>
          <w:color w:val="111111"/>
          <w:sz w:val="24"/>
          <w:szCs w:val="24"/>
          <w:shd w:val="clear" w:color="auto" w:fill="FFFFFF"/>
          <w:lang w:eastAsia="zh-CN"/>
        </w:rPr>
        <w:t>要提供相应合同扫描件</w:t>
      </w:r>
      <w:r>
        <w:rPr>
          <w:rFonts w:hint="eastAsia" w:ascii="Arial" w:hAnsi="Arial" w:cs="Arial"/>
          <w:color w:val="111111"/>
          <w:sz w:val="24"/>
          <w:szCs w:val="24"/>
          <w:shd w:val="clear" w:color="auto" w:fill="FFFFFF"/>
          <w:lang w:eastAsia="zh-CN"/>
        </w:rPr>
        <w:t>）</w:t>
      </w:r>
      <w:r>
        <w:rPr>
          <w:rFonts w:hint="eastAsia"/>
          <w:color w:val="000000" w:themeColor="text1"/>
          <w:sz w:val="24"/>
          <w:szCs w:val="24"/>
          <w:lang w:eastAsia="zh-CN"/>
        </w:rPr>
        <w:t>。</w:t>
      </w:r>
    </w:p>
    <w:p>
      <w:pPr>
        <w:keepNext w:val="0"/>
        <w:keepLines w:val="0"/>
        <w:pageBreakBefore w:val="0"/>
        <w:tabs>
          <w:tab w:val="left" w:pos="709"/>
        </w:tabs>
        <w:kinsoku/>
        <w:wordWrap/>
        <w:overflowPunct/>
        <w:topLinePunct w:val="0"/>
        <w:bidi w:val="0"/>
        <w:adjustRightInd/>
        <w:snapToGrid/>
        <w:spacing w:line="600" w:lineRule="exact"/>
        <w:ind w:firstLine="480" w:firstLineChars="200"/>
        <w:rPr>
          <w:rFonts w:hint="eastAsia"/>
          <w:color w:val="000000" w:themeColor="text1"/>
          <w:sz w:val="24"/>
          <w:szCs w:val="24"/>
          <w:lang w:eastAsia="zh-CN"/>
        </w:rPr>
      </w:pPr>
      <w:r>
        <w:rPr>
          <w:rFonts w:hint="eastAsia"/>
          <w:color w:val="000000" w:themeColor="text1"/>
          <w:sz w:val="24"/>
          <w:szCs w:val="24"/>
          <w:lang w:eastAsia="zh-CN"/>
        </w:rPr>
        <w:t>报名成功后，参选人须与现场技术人员进行前期技术交流，需详细阅读比选项目说明，并按照相关要求提供相关方案。技术交流后经比选人技术人员确认合格并签订技术协议书后，参选人方可参与后续比选，未进行报名和技术交流确认，未签订技术协议书的参选人不能参加比选。技术交流及技术协议签订时间暂定为报名截止后15天内完成。</w:t>
      </w:r>
    </w:p>
    <w:p>
      <w:pPr>
        <w:keepNext w:val="0"/>
        <w:keepLines w:val="0"/>
        <w:pageBreakBefore w:val="0"/>
        <w:tabs>
          <w:tab w:val="left" w:pos="709"/>
        </w:tabs>
        <w:kinsoku/>
        <w:wordWrap/>
        <w:overflowPunct/>
        <w:topLinePunct w:val="0"/>
        <w:bidi w:val="0"/>
        <w:adjustRightInd/>
        <w:snapToGrid/>
        <w:spacing w:line="600" w:lineRule="exact"/>
        <w:ind w:firstLine="480" w:firstLineChars="200"/>
        <w:rPr>
          <w:rFonts w:hint="eastAsia"/>
          <w:color w:val="000000" w:themeColor="text1"/>
          <w:sz w:val="24"/>
          <w:szCs w:val="24"/>
          <w:lang w:val="en-US" w:eastAsia="zh-CN"/>
        </w:rPr>
      </w:pPr>
      <w:r>
        <w:rPr>
          <w:rFonts w:hint="eastAsia"/>
          <w:color w:val="000000" w:themeColor="text1"/>
          <w:sz w:val="24"/>
          <w:szCs w:val="24"/>
          <w:lang w:val="en-US" w:eastAsia="zh-CN"/>
        </w:rPr>
        <w:t>3.</w:t>
      </w:r>
      <w:r>
        <w:rPr>
          <w:rFonts w:hint="eastAsia"/>
          <w:color w:val="000000" w:themeColor="text1"/>
          <w:sz w:val="24"/>
          <w:szCs w:val="24"/>
          <w:lang w:eastAsia="zh-CN"/>
        </w:rPr>
        <w:t>获取比选文件：本项目比选文件</w:t>
      </w:r>
      <w:r>
        <w:rPr>
          <w:rFonts w:hint="eastAsia"/>
          <w:color w:val="000000" w:themeColor="text1"/>
          <w:sz w:val="24"/>
          <w:szCs w:val="24"/>
          <w:lang w:val="en-US" w:eastAsia="zh-CN"/>
        </w:rPr>
        <w:t>待比选人确认合格的参选人后</w:t>
      </w:r>
      <w:r>
        <w:rPr>
          <w:rFonts w:hint="eastAsia"/>
          <w:color w:val="000000" w:themeColor="text1"/>
          <w:sz w:val="24"/>
          <w:szCs w:val="24"/>
          <w:lang w:eastAsia="zh-CN"/>
        </w:rPr>
        <w:t>统一</w:t>
      </w:r>
      <w:r>
        <w:rPr>
          <w:rFonts w:hint="eastAsia"/>
          <w:color w:val="000000" w:themeColor="text1"/>
          <w:sz w:val="24"/>
          <w:szCs w:val="24"/>
          <w:lang w:val="en-US" w:eastAsia="zh-CN"/>
        </w:rPr>
        <w:t>邮件发送，不合格的参选人不予发送。</w:t>
      </w:r>
      <w:bookmarkStart w:id="0" w:name="_GoBack"/>
      <w:bookmarkEnd w:id="0"/>
    </w:p>
    <w:p>
      <w:pPr>
        <w:keepNext w:val="0"/>
        <w:keepLines w:val="0"/>
        <w:pageBreakBefore w:val="0"/>
        <w:numPr>
          <w:numId w:val="0"/>
        </w:numPr>
        <w:tabs>
          <w:tab w:val="left" w:pos="709"/>
        </w:tabs>
        <w:kinsoku/>
        <w:wordWrap/>
        <w:overflowPunct/>
        <w:topLinePunct w:val="0"/>
        <w:bidi w:val="0"/>
        <w:adjustRightInd/>
        <w:snapToGrid/>
        <w:spacing w:line="600" w:lineRule="exact"/>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四、参选文件递交要求</w:t>
      </w:r>
    </w:p>
    <w:p>
      <w:pPr>
        <w:keepNext w:val="0"/>
        <w:keepLines w:val="0"/>
        <w:pageBreakBefore w:val="0"/>
        <w:tabs>
          <w:tab w:val="left" w:pos="709"/>
        </w:tabs>
        <w:kinsoku/>
        <w:wordWrap/>
        <w:overflowPunct/>
        <w:topLinePunct w:val="0"/>
        <w:bidi w:val="0"/>
        <w:adjustRightInd/>
        <w:snapToGrid/>
        <w:spacing w:line="600" w:lineRule="exact"/>
        <w:ind w:firstLine="480" w:firstLineChars="200"/>
        <w:rPr>
          <w:color w:val="000000" w:themeColor="text1"/>
          <w:sz w:val="24"/>
          <w:szCs w:val="24"/>
          <w:lang w:eastAsia="zh-CN"/>
        </w:rPr>
      </w:pPr>
      <w:r>
        <w:rPr>
          <w:rFonts w:hint="eastAsia"/>
          <w:color w:val="000000" w:themeColor="text1"/>
          <w:sz w:val="24"/>
          <w:szCs w:val="24"/>
          <w:lang w:eastAsia="zh-CN"/>
        </w:rPr>
        <w:t>1</w:t>
      </w:r>
      <w:r>
        <w:rPr>
          <w:color w:val="000000" w:themeColor="text1"/>
          <w:sz w:val="24"/>
          <w:szCs w:val="24"/>
          <w:lang w:eastAsia="zh-CN"/>
        </w:rPr>
        <w:t>.</w:t>
      </w:r>
      <w:r>
        <w:rPr>
          <w:rFonts w:hint="eastAsia"/>
          <w:color w:val="000000" w:themeColor="text1"/>
          <w:sz w:val="24"/>
          <w:szCs w:val="24"/>
          <w:lang w:eastAsia="zh-CN"/>
        </w:rPr>
        <w:t xml:space="preserve"> 参选文件递交地点：漳州市漳浦县杜浔镇杜昌路9号，福海创办公楼三楼设备及服务团队，收件人：</w:t>
      </w:r>
      <w:r>
        <w:rPr>
          <w:rFonts w:hint="eastAsia"/>
          <w:color w:val="000000" w:themeColor="text1"/>
          <w:sz w:val="24"/>
          <w:szCs w:val="24"/>
          <w:lang w:val="en-US" w:eastAsia="zh-CN"/>
        </w:rPr>
        <w:t>徐明兴</w:t>
      </w:r>
      <w:r>
        <w:rPr>
          <w:rFonts w:hint="eastAsia"/>
          <w:color w:val="000000" w:themeColor="text1"/>
          <w:sz w:val="24"/>
          <w:szCs w:val="24"/>
          <w:lang w:eastAsia="zh-CN"/>
        </w:rPr>
        <w:t xml:space="preserve">  </w:t>
      </w:r>
      <w:r>
        <w:rPr>
          <w:rFonts w:hint="eastAsia"/>
          <w:color w:val="000000" w:themeColor="text1"/>
          <w:sz w:val="24"/>
          <w:szCs w:val="24"/>
          <w:lang w:val="en-US" w:eastAsia="zh-CN"/>
        </w:rPr>
        <w:t>电话：13779967252</w:t>
      </w:r>
      <w:r>
        <w:rPr>
          <w:rFonts w:hint="eastAsia"/>
          <w:color w:val="000000" w:themeColor="text1"/>
          <w:sz w:val="24"/>
          <w:szCs w:val="24"/>
          <w:lang w:eastAsia="zh-CN"/>
        </w:rPr>
        <w:t>。</w:t>
      </w:r>
    </w:p>
    <w:p>
      <w:pPr>
        <w:keepNext w:val="0"/>
        <w:keepLines w:val="0"/>
        <w:pageBreakBefore w:val="0"/>
        <w:tabs>
          <w:tab w:val="left" w:pos="709"/>
        </w:tabs>
        <w:kinsoku/>
        <w:wordWrap/>
        <w:overflowPunct/>
        <w:topLinePunct w:val="0"/>
        <w:bidi w:val="0"/>
        <w:adjustRightInd/>
        <w:snapToGrid/>
        <w:spacing w:line="600" w:lineRule="exact"/>
        <w:ind w:firstLine="480" w:firstLineChars="200"/>
        <w:rPr>
          <w:rFonts w:hint="eastAsia"/>
          <w:color w:val="000000" w:themeColor="text1"/>
          <w:sz w:val="24"/>
          <w:szCs w:val="24"/>
          <w:lang w:eastAsia="zh-CN"/>
        </w:rPr>
      </w:pPr>
      <w:r>
        <w:rPr>
          <w:rFonts w:hint="eastAsia"/>
          <w:color w:val="000000" w:themeColor="text1"/>
          <w:sz w:val="24"/>
          <w:szCs w:val="24"/>
          <w:lang w:eastAsia="zh-CN"/>
        </w:rPr>
        <w:t>2</w:t>
      </w:r>
      <w:r>
        <w:rPr>
          <w:color w:val="000000" w:themeColor="text1"/>
          <w:sz w:val="24"/>
          <w:szCs w:val="24"/>
          <w:lang w:eastAsia="zh-CN"/>
        </w:rPr>
        <w:t>.</w:t>
      </w:r>
      <w:r>
        <w:rPr>
          <w:rFonts w:hint="eastAsia"/>
          <w:color w:val="000000" w:themeColor="text1"/>
          <w:sz w:val="24"/>
          <w:szCs w:val="24"/>
          <w:lang w:eastAsia="zh-CN"/>
        </w:rPr>
        <w:t xml:space="preserve"> 参选文件递交截止时间（以送达时间为准）：根据技术交流情况，技术合格单位后续统一通知报价。</w:t>
      </w:r>
    </w:p>
    <w:p>
      <w:pPr>
        <w:keepNext w:val="0"/>
        <w:keepLines w:val="0"/>
        <w:pageBreakBefore w:val="0"/>
        <w:kinsoku/>
        <w:wordWrap/>
        <w:overflowPunct/>
        <w:topLinePunct w:val="0"/>
        <w:bidi w:val="0"/>
        <w:adjustRightInd/>
        <w:snapToGrid/>
        <w:spacing w:before="15" w:line="600" w:lineRule="exact"/>
        <w:ind w:firstLine="534" w:firstLineChars="200"/>
        <w:rPr>
          <w:b/>
          <w:w w:val="95"/>
          <w:sz w:val="28"/>
          <w:lang w:eastAsia="zh-CN"/>
        </w:rPr>
      </w:pPr>
      <w:r>
        <w:rPr>
          <w:rFonts w:hint="eastAsia"/>
          <w:b/>
          <w:w w:val="95"/>
          <w:sz w:val="28"/>
          <w:lang w:val="en-US" w:eastAsia="zh-CN"/>
        </w:rPr>
        <w:t>五</w:t>
      </w:r>
      <w:r>
        <w:rPr>
          <w:b/>
          <w:w w:val="95"/>
          <w:sz w:val="28"/>
          <w:lang w:eastAsia="zh-CN"/>
        </w:rPr>
        <w:t>、评选办法</w:t>
      </w:r>
    </w:p>
    <w:p>
      <w:pPr>
        <w:keepNext w:val="0"/>
        <w:keepLines w:val="0"/>
        <w:pageBreakBefore w:val="0"/>
        <w:kinsoku/>
        <w:wordWrap/>
        <w:overflowPunct/>
        <w:topLinePunct w:val="0"/>
        <w:bidi w:val="0"/>
        <w:adjustRightInd/>
        <w:snapToGrid/>
        <w:spacing w:before="15" w:line="600" w:lineRule="exact"/>
        <w:ind w:firstLine="480" w:firstLineChars="200"/>
        <w:rPr>
          <w:color w:val="000000"/>
          <w:sz w:val="24"/>
          <w:szCs w:val="24"/>
          <w:shd w:val="clear" w:color="auto" w:fill="FFFFFF"/>
          <w:lang w:eastAsia="zh-CN"/>
        </w:rPr>
      </w:pPr>
      <w:r>
        <w:rPr>
          <w:rFonts w:hint="eastAsia"/>
          <w:color w:val="000000"/>
          <w:sz w:val="24"/>
          <w:szCs w:val="24"/>
          <w:shd w:val="clear" w:color="auto" w:fill="FFFFFF"/>
          <w:lang w:eastAsia="zh-CN"/>
        </w:rPr>
        <w:t>采用商务报价决标评选的方式，从价格和付款方式两方面进行评选，满足</w:t>
      </w:r>
    </w:p>
    <w:p>
      <w:pPr>
        <w:keepNext w:val="0"/>
        <w:keepLines w:val="0"/>
        <w:pageBreakBefore w:val="0"/>
        <w:kinsoku/>
        <w:wordWrap/>
        <w:overflowPunct/>
        <w:topLinePunct w:val="0"/>
        <w:bidi w:val="0"/>
        <w:adjustRightInd/>
        <w:snapToGrid/>
        <w:spacing w:before="15" w:line="600" w:lineRule="exact"/>
        <w:ind w:firstLine="480" w:firstLineChars="200"/>
        <w:rPr>
          <w:color w:val="000000"/>
          <w:sz w:val="24"/>
          <w:szCs w:val="24"/>
          <w:shd w:val="clear" w:color="auto" w:fill="FFFFFF"/>
          <w:lang w:eastAsia="zh-CN"/>
        </w:rPr>
      </w:pPr>
      <w:r>
        <w:rPr>
          <w:rFonts w:hint="eastAsia"/>
          <w:color w:val="000000"/>
          <w:sz w:val="24"/>
          <w:szCs w:val="24"/>
          <w:shd w:val="clear" w:color="auto" w:fill="FFFFFF"/>
          <w:lang w:eastAsia="zh-CN"/>
        </w:rPr>
        <w:t>（1）付款条件：货到验收合格付90%，留10%质保；</w:t>
      </w:r>
    </w:p>
    <w:p>
      <w:pPr>
        <w:keepNext w:val="0"/>
        <w:keepLines w:val="0"/>
        <w:pageBreakBefore w:val="0"/>
        <w:kinsoku/>
        <w:wordWrap/>
        <w:overflowPunct/>
        <w:topLinePunct w:val="0"/>
        <w:bidi w:val="0"/>
        <w:adjustRightInd/>
        <w:snapToGrid/>
        <w:spacing w:before="15" w:line="600" w:lineRule="exact"/>
        <w:ind w:firstLine="480" w:firstLineChars="200"/>
        <w:rPr>
          <w:lang w:eastAsia="zh-CN"/>
        </w:rPr>
      </w:pPr>
      <w:r>
        <w:rPr>
          <w:rFonts w:hint="eastAsia"/>
          <w:color w:val="000000"/>
          <w:sz w:val="24"/>
          <w:szCs w:val="24"/>
          <w:shd w:val="clear" w:color="auto" w:fill="FFFFFF"/>
          <w:lang w:eastAsia="zh-CN"/>
        </w:rPr>
        <w:t>（2）</w:t>
      </w:r>
      <w:r>
        <w:rPr>
          <w:rFonts w:hint="eastAsia"/>
          <w:color w:val="000000"/>
          <w:sz w:val="24"/>
          <w:szCs w:val="24"/>
          <w:shd w:val="clear" w:color="auto" w:fill="FFFFFF"/>
          <w:lang w:val="en-US" w:eastAsia="zh-CN"/>
        </w:rPr>
        <w:t>未税</w:t>
      </w:r>
      <w:r>
        <w:rPr>
          <w:rFonts w:hint="eastAsia"/>
          <w:color w:val="000000"/>
          <w:sz w:val="24"/>
          <w:szCs w:val="24"/>
          <w:shd w:val="clear" w:color="auto" w:fill="FFFFFF"/>
          <w:lang w:eastAsia="zh-CN"/>
        </w:rPr>
        <w:t>总价最低者作为第一中选人，以此类推。</w:t>
      </w:r>
    </w:p>
    <w:p>
      <w:pPr>
        <w:pStyle w:val="21"/>
        <w:keepNext w:val="0"/>
        <w:keepLines w:val="0"/>
        <w:pageBreakBefore w:val="0"/>
        <w:kinsoku/>
        <w:wordWrap/>
        <w:overflowPunct/>
        <w:topLinePunct w:val="0"/>
        <w:bidi w:val="0"/>
        <w:adjustRightInd/>
        <w:snapToGrid/>
        <w:spacing w:line="600" w:lineRule="exact"/>
        <w:ind w:right="121" w:firstLine="480" w:firstLineChars="200"/>
        <w:jc w:val="both"/>
        <w:rPr>
          <w:b/>
          <w:w w:val="95"/>
          <w:sz w:val="28"/>
          <w:lang w:eastAsia="zh-CN"/>
        </w:rPr>
      </w:pPr>
      <w:r>
        <w:rPr>
          <w:rFonts w:hint="eastAsia"/>
          <w:color w:val="000000" w:themeColor="text1"/>
          <w:lang w:eastAsia="zh-CN"/>
        </w:rPr>
        <w:t xml:space="preserve">    </w:t>
      </w:r>
      <w:r>
        <w:rPr>
          <w:rFonts w:hint="eastAsia"/>
          <w:b/>
          <w:w w:val="95"/>
          <w:sz w:val="28"/>
          <w:lang w:val="en-US" w:eastAsia="zh-CN"/>
        </w:rPr>
        <w:t>六</w:t>
      </w:r>
      <w:r>
        <w:rPr>
          <w:b/>
          <w:w w:val="95"/>
          <w:sz w:val="28"/>
          <w:lang w:eastAsia="zh-CN"/>
        </w:rPr>
        <w:t>、参选保证金</w:t>
      </w:r>
    </w:p>
    <w:p>
      <w:pPr>
        <w:keepNext w:val="0"/>
        <w:keepLines w:val="0"/>
        <w:pageBreakBefore w:val="0"/>
        <w:widowControl/>
        <w:kinsoku/>
        <w:wordWrap/>
        <w:overflowPunct/>
        <w:topLinePunct w:val="0"/>
        <w:autoSpaceDE/>
        <w:autoSpaceDN/>
        <w:bidi w:val="0"/>
        <w:adjustRightInd/>
        <w:snapToGrid/>
        <w:spacing w:line="600" w:lineRule="exact"/>
        <w:ind w:firstLine="440" w:firstLineChars="200"/>
        <w:jc w:val="both"/>
        <w:rPr>
          <w:rFonts w:cs="Arial" w:asciiTheme="majorEastAsia" w:hAnsiTheme="majorEastAsia" w:eastAsiaTheme="majorEastAsia"/>
          <w:color w:val="333333"/>
          <w:sz w:val="24"/>
          <w:szCs w:val="24"/>
          <w:lang w:eastAsia="zh-CN"/>
        </w:rPr>
      </w:pPr>
      <w:r>
        <w:rPr>
          <w:rFonts w:hint="eastAsia"/>
          <w:lang w:eastAsia="zh-CN"/>
        </w:rPr>
        <w:t xml:space="preserve"> </w:t>
      </w:r>
      <w:r>
        <w:rPr>
          <w:rFonts w:hint="eastAsia" w:cs="Arial" w:asciiTheme="majorEastAsia" w:hAnsiTheme="majorEastAsia" w:eastAsiaTheme="majorEastAsia"/>
          <w:color w:val="333333"/>
          <w:sz w:val="24"/>
          <w:szCs w:val="24"/>
          <w:lang w:eastAsia="zh-CN"/>
        </w:rPr>
        <w:t>1、参选保证金的金额为：人民币贰万元整（￥</w:t>
      </w:r>
      <w:r>
        <w:rPr>
          <w:rFonts w:hint="eastAsia" w:cs="Arial" w:asciiTheme="majorEastAsia" w:hAnsiTheme="majorEastAsia" w:eastAsiaTheme="majorEastAsia"/>
          <w:color w:val="333333"/>
          <w:sz w:val="24"/>
          <w:szCs w:val="24"/>
          <w:lang w:val="en-US" w:eastAsia="zh-CN"/>
        </w:rPr>
        <w:t>10000</w:t>
      </w:r>
      <w:r>
        <w:rPr>
          <w:rFonts w:hint="eastAsia" w:cs="Arial" w:asciiTheme="majorEastAsia" w:hAnsiTheme="majorEastAsia" w:eastAsiaTheme="majorEastAsia"/>
          <w:color w:val="333333"/>
          <w:sz w:val="24"/>
          <w:szCs w:val="24"/>
          <w:lang w:eastAsia="zh-CN"/>
        </w:rPr>
        <w:t>.00元）；</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both"/>
        <w:rPr>
          <w:rFonts w:cs="Arial" w:asciiTheme="majorEastAsia" w:hAnsiTheme="majorEastAsia" w:eastAsiaTheme="majorEastAsia"/>
          <w:color w:val="333333"/>
          <w:sz w:val="24"/>
          <w:szCs w:val="24"/>
          <w:lang w:eastAsia="zh-CN"/>
        </w:rPr>
      </w:pPr>
      <w:r>
        <w:rPr>
          <w:rFonts w:hint="eastAsia" w:cs="Arial" w:asciiTheme="majorEastAsia" w:hAnsiTheme="majorEastAsia" w:eastAsiaTheme="majorEastAsia"/>
          <w:color w:val="333333"/>
          <w:sz w:val="24"/>
          <w:szCs w:val="24"/>
          <w:lang w:eastAsia="zh-CN"/>
        </w:rPr>
        <w:t>2、参选保证金提交的时间：应在参选文件递交截止时间之前汇达指定账户；</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both"/>
        <w:rPr>
          <w:rFonts w:cs="Arial" w:asciiTheme="majorEastAsia" w:hAnsiTheme="majorEastAsia" w:eastAsiaTheme="majorEastAsia"/>
          <w:color w:val="333333"/>
          <w:sz w:val="24"/>
          <w:szCs w:val="24"/>
          <w:lang w:eastAsia="zh-CN"/>
        </w:rPr>
      </w:pPr>
      <w:r>
        <w:rPr>
          <w:rFonts w:hint="eastAsia" w:cs="Arial" w:asciiTheme="majorEastAsia" w:hAnsiTheme="majorEastAsia" w:eastAsiaTheme="majorEastAsia"/>
          <w:color w:val="333333"/>
          <w:sz w:val="24"/>
          <w:szCs w:val="24"/>
          <w:lang w:eastAsia="zh-CN"/>
        </w:rPr>
        <w:t>3、参选保证金提交的方式：</w:t>
      </w:r>
      <w:r>
        <w:rPr>
          <w:rFonts w:hint="eastAsia" w:cs="Arial" w:asciiTheme="majorEastAsia" w:hAnsiTheme="majorEastAsia" w:eastAsiaTheme="majorEastAsia"/>
          <w:color w:val="333333"/>
          <w:sz w:val="24"/>
          <w:szCs w:val="24"/>
          <w:u w:val="single"/>
          <w:lang w:eastAsia="zh-CN"/>
        </w:rPr>
        <w:t>应从参选人基本账户以电汇或银行转账方式提交（以款项到达时间为准），并应在电汇或银行转账单上注明为本项目的参选保证金；</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both"/>
        <w:rPr>
          <w:rFonts w:cs="Arial" w:asciiTheme="majorEastAsia" w:hAnsiTheme="majorEastAsia" w:eastAsiaTheme="majorEastAsia"/>
          <w:color w:val="333333"/>
          <w:sz w:val="24"/>
          <w:szCs w:val="24"/>
          <w:lang w:eastAsia="zh-CN"/>
        </w:rPr>
      </w:pPr>
      <w:r>
        <w:rPr>
          <w:rFonts w:hint="eastAsia" w:cs="Arial" w:asciiTheme="majorEastAsia" w:hAnsiTheme="majorEastAsia" w:eastAsiaTheme="majorEastAsia"/>
          <w:color w:val="333333"/>
          <w:sz w:val="24"/>
          <w:szCs w:val="24"/>
          <w:lang w:eastAsia="zh-CN"/>
        </w:rPr>
        <w:t>4、参选保证金指定账户：</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both"/>
        <w:rPr>
          <w:rFonts w:cs="Arial" w:asciiTheme="majorEastAsia" w:hAnsiTheme="majorEastAsia" w:eastAsiaTheme="majorEastAsia"/>
          <w:color w:val="333333"/>
          <w:sz w:val="24"/>
          <w:szCs w:val="24"/>
          <w:lang w:eastAsia="zh-CN"/>
        </w:rPr>
      </w:pPr>
      <w:r>
        <w:rPr>
          <w:rFonts w:hint="eastAsia" w:cs="Arial" w:asciiTheme="majorEastAsia" w:hAnsiTheme="majorEastAsia" w:eastAsiaTheme="majorEastAsia"/>
          <w:color w:val="333333"/>
          <w:sz w:val="24"/>
          <w:szCs w:val="24"/>
          <w:lang w:eastAsia="zh-CN"/>
        </w:rPr>
        <w:t>开户名称：福建福海创石油化工有限公司 </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both"/>
        <w:rPr>
          <w:rFonts w:cs="Arial" w:asciiTheme="majorEastAsia" w:hAnsiTheme="majorEastAsia" w:eastAsiaTheme="majorEastAsia"/>
          <w:color w:val="333333"/>
          <w:sz w:val="24"/>
          <w:szCs w:val="24"/>
          <w:lang w:eastAsia="zh-CN"/>
        </w:rPr>
      </w:pPr>
      <w:r>
        <w:rPr>
          <w:rFonts w:hint="eastAsia" w:cs="Arial" w:asciiTheme="majorEastAsia" w:hAnsiTheme="majorEastAsia" w:eastAsiaTheme="majorEastAsia"/>
          <w:color w:val="333333"/>
          <w:sz w:val="24"/>
          <w:szCs w:val="24"/>
          <w:lang w:eastAsia="zh-CN"/>
        </w:rPr>
        <w:t>开户银行：</w:t>
      </w:r>
      <w:r>
        <w:rPr>
          <w:rFonts w:hint="eastAsia"/>
          <w:sz w:val="24"/>
          <w:szCs w:val="24"/>
          <w:lang w:eastAsia="zh-CN"/>
        </w:rPr>
        <w:t>中国银行漳州古雷经济开发区支行</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both"/>
        <w:rPr>
          <w:rFonts w:cs="Arial" w:asciiTheme="majorEastAsia" w:hAnsiTheme="majorEastAsia" w:eastAsiaTheme="majorEastAsia"/>
          <w:color w:val="333333"/>
          <w:sz w:val="24"/>
          <w:szCs w:val="24"/>
          <w:lang w:eastAsia="zh-CN"/>
        </w:rPr>
      </w:pPr>
      <w:r>
        <w:rPr>
          <w:rFonts w:hint="eastAsia" w:cs="Arial" w:asciiTheme="majorEastAsia" w:hAnsiTheme="majorEastAsia" w:eastAsiaTheme="majorEastAsia"/>
          <w:color w:val="333333"/>
          <w:sz w:val="24"/>
          <w:szCs w:val="24"/>
          <w:lang w:eastAsia="zh-CN"/>
        </w:rPr>
        <w:t>帐   号：</w:t>
      </w:r>
      <w:r>
        <w:rPr>
          <w:rFonts w:hint="eastAsia"/>
          <w:sz w:val="24"/>
          <w:szCs w:val="24"/>
          <w:lang w:eastAsia="zh-CN"/>
        </w:rPr>
        <w:t>406574816628</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both"/>
        <w:rPr>
          <w:rFonts w:cs="Arial" w:asciiTheme="majorEastAsia" w:hAnsiTheme="majorEastAsia" w:eastAsiaTheme="majorEastAsia"/>
          <w:color w:val="333333"/>
          <w:sz w:val="24"/>
          <w:szCs w:val="24"/>
          <w:lang w:eastAsia="zh-CN"/>
        </w:rPr>
      </w:pPr>
      <w:r>
        <w:rPr>
          <w:rFonts w:hint="eastAsia" w:cs="Arial" w:asciiTheme="majorEastAsia" w:hAnsiTheme="majorEastAsia" w:eastAsiaTheme="majorEastAsia"/>
          <w:color w:val="333333"/>
          <w:sz w:val="24"/>
          <w:szCs w:val="24"/>
          <w:lang w:eastAsia="zh-CN"/>
        </w:rPr>
        <w:t>注明用途：</w:t>
      </w:r>
      <w:r>
        <w:rPr>
          <w:rFonts w:hint="eastAsia" w:cs="Arial" w:asciiTheme="majorEastAsia" w:hAnsiTheme="majorEastAsia" w:eastAsiaTheme="majorEastAsia"/>
          <w:b/>
          <w:bCs/>
          <w:color w:val="333333"/>
          <w:sz w:val="24"/>
          <w:szCs w:val="24"/>
          <w:lang w:val="en-US" w:eastAsia="zh-CN"/>
        </w:rPr>
        <w:t>1台高压防爆异步电动机</w:t>
      </w:r>
      <w:r>
        <w:rPr>
          <w:rFonts w:hint="eastAsia" w:cs="Arial" w:asciiTheme="majorEastAsia" w:hAnsiTheme="majorEastAsia" w:eastAsiaTheme="majorEastAsia"/>
          <w:b/>
          <w:color w:val="333333"/>
          <w:sz w:val="24"/>
          <w:szCs w:val="24"/>
          <w:lang w:eastAsia="zh-CN"/>
        </w:rPr>
        <w:t>参选保证金</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both"/>
        <w:rPr>
          <w:rFonts w:cs="Arial" w:asciiTheme="majorEastAsia" w:hAnsiTheme="majorEastAsia" w:eastAsiaTheme="majorEastAsia"/>
          <w:color w:val="333333"/>
          <w:sz w:val="24"/>
          <w:szCs w:val="24"/>
          <w:lang w:eastAsia="zh-CN"/>
        </w:rPr>
      </w:pPr>
      <w:r>
        <w:rPr>
          <w:rFonts w:hint="eastAsia" w:cs="Arial" w:asciiTheme="majorEastAsia" w:hAnsiTheme="majorEastAsia" w:eastAsiaTheme="majorEastAsia"/>
          <w:color w:val="333333"/>
          <w:sz w:val="24"/>
          <w:szCs w:val="24"/>
          <w:lang w:eastAsia="zh-CN"/>
        </w:rPr>
        <w:t>参选保证金有效期：90日历天。</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both"/>
        <w:rPr>
          <w:rFonts w:cs="Arial" w:asciiTheme="majorEastAsia" w:hAnsiTheme="majorEastAsia" w:eastAsiaTheme="majorEastAsia"/>
          <w:color w:val="333333"/>
          <w:sz w:val="24"/>
          <w:szCs w:val="24"/>
          <w:u w:val="single"/>
          <w:lang w:eastAsia="zh-CN"/>
        </w:rPr>
      </w:pPr>
      <w:r>
        <w:rPr>
          <w:rFonts w:hint="eastAsia" w:cs="Arial" w:asciiTheme="majorEastAsia" w:hAnsiTheme="majorEastAsia" w:eastAsiaTheme="majorEastAsia"/>
          <w:color w:val="333333"/>
          <w:sz w:val="24"/>
          <w:szCs w:val="24"/>
          <w:u w:val="single"/>
          <w:lang w:eastAsia="zh-CN"/>
        </w:rPr>
        <w:t>注：开户许可证上账号应与参选保证金转账回单上账号一致，否则视为未按规定提交参选保证金,所造成的一切后果由参选人自行负责。</w:t>
      </w:r>
    </w:p>
    <w:p>
      <w:pPr>
        <w:pStyle w:val="21"/>
        <w:keepNext w:val="0"/>
        <w:keepLines w:val="0"/>
        <w:pageBreakBefore w:val="0"/>
        <w:kinsoku/>
        <w:wordWrap/>
        <w:overflowPunct/>
        <w:topLinePunct w:val="0"/>
        <w:bidi w:val="0"/>
        <w:adjustRightInd/>
        <w:snapToGrid/>
        <w:spacing w:line="600" w:lineRule="exact"/>
        <w:ind w:right="121" w:firstLine="480" w:firstLineChars="200"/>
        <w:jc w:val="both"/>
        <w:rPr>
          <w:rFonts w:asciiTheme="majorEastAsia" w:hAnsiTheme="majorEastAsia" w:eastAsiaTheme="majorEastAsia"/>
          <w:lang w:eastAsia="zh-CN"/>
        </w:rPr>
      </w:pPr>
      <w:r>
        <w:rPr>
          <w:rFonts w:hint="eastAsia" w:asciiTheme="majorEastAsia" w:hAnsiTheme="majorEastAsia" w:eastAsiaTheme="majorEastAsia"/>
          <w:lang w:eastAsia="zh-CN"/>
        </w:rPr>
        <w:t>5.对于未能按要求提交保证金的参选文件，比选单位可以视为不符合上面比选要求而予以拒绝；</w:t>
      </w:r>
    </w:p>
    <w:p>
      <w:pPr>
        <w:pStyle w:val="21"/>
        <w:keepNext w:val="0"/>
        <w:keepLines w:val="0"/>
        <w:pageBreakBefore w:val="0"/>
        <w:kinsoku/>
        <w:wordWrap/>
        <w:overflowPunct/>
        <w:topLinePunct w:val="0"/>
        <w:bidi w:val="0"/>
        <w:adjustRightInd/>
        <w:snapToGrid/>
        <w:spacing w:line="600" w:lineRule="exact"/>
        <w:ind w:right="121" w:firstLine="480" w:firstLineChars="200"/>
        <w:jc w:val="both"/>
        <w:rPr>
          <w:rFonts w:asciiTheme="majorEastAsia" w:hAnsiTheme="majorEastAsia" w:eastAsiaTheme="majorEastAsia"/>
          <w:lang w:eastAsia="zh-CN"/>
        </w:rPr>
      </w:pPr>
      <w:r>
        <w:rPr>
          <w:rFonts w:hint="eastAsia" w:asciiTheme="majorEastAsia" w:hAnsiTheme="majorEastAsia" w:eastAsiaTheme="majorEastAsia"/>
          <w:lang w:eastAsia="zh-CN"/>
        </w:rPr>
        <w:t>6.</w:t>
      </w:r>
      <w:r>
        <w:rPr>
          <w:rFonts w:hint="eastAsia" w:asciiTheme="majorEastAsia" w:hAnsiTheme="majorEastAsia" w:eastAsiaTheme="majorEastAsia"/>
          <w:spacing w:val="8"/>
          <w:lang w:eastAsia="zh-CN"/>
        </w:rPr>
        <w:t xml:space="preserve"> 本项目比选结束后，未中选的参选人其所递交的参选保证金将于本项目合同签订后退回至参选人</w:t>
      </w:r>
      <w:r>
        <w:rPr>
          <w:rFonts w:hint="eastAsia" w:asciiTheme="majorEastAsia" w:hAnsiTheme="majorEastAsia" w:eastAsiaTheme="majorEastAsia"/>
          <w:lang w:eastAsia="zh-CN"/>
        </w:rPr>
        <w:t>基本账户</w:t>
      </w:r>
      <w:r>
        <w:rPr>
          <w:rFonts w:hint="eastAsia" w:asciiTheme="majorEastAsia" w:hAnsiTheme="majorEastAsia" w:eastAsiaTheme="majorEastAsia"/>
          <w:spacing w:val="8"/>
          <w:lang w:eastAsia="zh-CN"/>
        </w:rPr>
        <w:t>（无息）</w:t>
      </w:r>
      <w:r>
        <w:rPr>
          <w:rFonts w:hint="eastAsia" w:asciiTheme="majorEastAsia" w:hAnsiTheme="majorEastAsia" w:eastAsiaTheme="majorEastAsia"/>
          <w:lang w:eastAsia="zh-CN"/>
        </w:rPr>
        <w:t>，最迟不超过规定的比选有效期满后的20天；</w:t>
      </w:r>
    </w:p>
    <w:p>
      <w:pPr>
        <w:pStyle w:val="21"/>
        <w:keepNext w:val="0"/>
        <w:keepLines w:val="0"/>
        <w:pageBreakBefore w:val="0"/>
        <w:kinsoku/>
        <w:wordWrap/>
        <w:overflowPunct/>
        <w:topLinePunct w:val="0"/>
        <w:bidi w:val="0"/>
        <w:adjustRightInd/>
        <w:snapToGrid/>
        <w:spacing w:line="600" w:lineRule="exact"/>
        <w:ind w:right="121" w:firstLine="480" w:firstLineChars="200"/>
        <w:jc w:val="both"/>
        <w:rPr>
          <w:rFonts w:asciiTheme="majorEastAsia" w:hAnsiTheme="majorEastAsia" w:eastAsiaTheme="majorEastAsia"/>
          <w:color w:val="000000" w:themeColor="text1"/>
          <w:lang w:eastAsia="zh-CN"/>
        </w:rPr>
      </w:pPr>
      <w:r>
        <w:rPr>
          <w:rFonts w:hint="eastAsia" w:asciiTheme="majorEastAsia" w:hAnsiTheme="majorEastAsia" w:eastAsiaTheme="majorEastAsia"/>
          <w:lang w:eastAsia="zh-CN"/>
        </w:rPr>
        <w:t>7.中选者的参选保证金（无息），将在合同签订后自动转为履约保证金，将于合同周期完成后</w:t>
      </w:r>
      <w:r>
        <w:rPr>
          <w:rFonts w:hint="default" w:asciiTheme="majorEastAsia" w:hAnsiTheme="majorEastAsia" w:eastAsiaTheme="majorEastAsia"/>
          <w:lang w:val="en-US" w:eastAsia="zh-CN"/>
        </w:rPr>
        <w:t>30</w:t>
      </w:r>
      <w:r>
        <w:rPr>
          <w:rFonts w:hint="eastAsia" w:asciiTheme="majorEastAsia" w:hAnsiTheme="majorEastAsia" w:eastAsiaTheme="majorEastAsia"/>
          <w:lang w:eastAsia="zh-CN"/>
        </w:rPr>
        <w:t>个工作日内，甲方无息退还履约保证金；</w:t>
      </w:r>
    </w:p>
    <w:p>
      <w:pPr>
        <w:pStyle w:val="21"/>
        <w:keepNext w:val="0"/>
        <w:keepLines w:val="0"/>
        <w:pageBreakBefore w:val="0"/>
        <w:kinsoku/>
        <w:wordWrap/>
        <w:overflowPunct/>
        <w:topLinePunct w:val="0"/>
        <w:bidi w:val="0"/>
        <w:adjustRightInd/>
        <w:snapToGrid/>
        <w:spacing w:line="600" w:lineRule="exact"/>
        <w:ind w:right="121" w:firstLine="480" w:firstLineChars="200"/>
        <w:jc w:val="both"/>
        <w:rPr>
          <w:rFonts w:asciiTheme="majorEastAsia" w:hAnsiTheme="majorEastAsia" w:eastAsiaTheme="majorEastAsia"/>
          <w:lang w:eastAsia="zh-CN"/>
        </w:rPr>
      </w:pPr>
      <w:r>
        <w:rPr>
          <w:rFonts w:hint="eastAsia" w:asciiTheme="majorEastAsia" w:hAnsiTheme="majorEastAsia" w:eastAsiaTheme="majorEastAsia"/>
          <w:lang w:eastAsia="zh-CN"/>
        </w:rPr>
        <w:t>8.如有下列情况发生，将被没收参选保证金：</w:t>
      </w:r>
    </w:p>
    <w:p>
      <w:pPr>
        <w:pStyle w:val="21"/>
        <w:keepNext w:val="0"/>
        <w:keepLines w:val="0"/>
        <w:pageBreakBefore w:val="0"/>
        <w:kinsoku/>
        <w:wordWrap/>
        <w:overflowPunct/>
        <w:topLinePunct w:val="0"/>
        <w:bidi w:val="0"/>
        <w:adjustRightInd/>
        <w:snapToGrid/>
        <w:spacing w:line="600" w:lineRule="exact"/>
        <w:ind w:right="121" w:firstLine="480" w:firstLineChars="200"/>
        <w:jc w:val="both"/>
        <w:rPr>
          <w:rFonts w:asciiTheme="majorEastAsia" w:hAnsiTheme="majorEastAsia" w:eastAsiaTheme="majorEastAsia"/>
          <w:lang w:eastAsia="zh-CN"/>
        </w:rPr>
      </w:pPr>
      <w:r>
        <w:rPr>
          <w:rFonts w:hint="eastAsia" w:asciiTheme="majorEastAsia" w:hAnsiTheme="majorEastAsia" w:eastAsiaTheme="majorEastAsia"/>
          <w:lang w:eastAsia="zh-CN"/>
        </w:rPr>
        <w:t xml:space="preserve">   （1）参选单位在参选有效期内撤回参选文件；</w:t>
      </w:r>
    </w:p>
    <w:p>
      <w:pPr>
        <w:keepNext w:val="0"/>
        <w:keepLines w:val="0"/>
        <w:pageBreakBefore w:val="0"/>
        <w:widowControl/>
        <w:kinsoku/>
        <w:wordWrap/>
        <w:overflowPunct/>
        <w:topLinePunct w:val="0"/>
        <w:autoSpaceDE/>
        <w:autoSpaceDN/>
        <w:bidi w:val="0"/>
        <w:adjustRightInd/>
        <w:snapToGrid/>
        <w:spacing w:line="600" w:lineRule="exact"/>
        <w:ind w:firstLine="480" w:firstLineChars="200"/>
        <w:jc w:val="both"/>
        <w:rPr>
          <w:lang w:eastAsia="zh-CN"/>
        </w:rPr>
      </w:pPr>
      <w:r>
        <w:rPr>
          <w:rFonts w:hint="eastAsia" w:asciiTheme="majorEastAsia" w:hAnsiTheme="majorEastAsia" w:eastAsiaTheme="majorEastAsia"/>
          <w:sz w:val="24"/>
          <w:szCs w:val="24"/>
          <w:lang w:eastAsia="zh-CN"/>
        </w:rPr>
        <w:t>（2）参选单位未能按接到中标通知书后规定的时间内签定合同。</w:t>
      </w:r>
    </w:p>
    <w:p>
      <w:pPr>
        <w:keepNext w:val="0"/>
        <w:keepLines w:val="0"/>
        <w:pageBreakBefore w:val="0"/>
        <w:kinsoku/>
        <w:wordWrap/>
        <w:overflowPunct/>
        <w:topLinePunct w:val="0"/>
        <w:bidi w:val="0"/>
        <w:adjustRightInd/>
        <w:snapToGrid/>
        <w:spacing w:line="600" w:lineRule="exact"/>
        <w:ind w:firstLine="514" w:firstLineChars="200"/>
        <w:rPr>
          <w:sz w:val="24"/>
          <w:szCs w:val="24"/>
          <w:lang w:eastAsia="zh-CN"/>
        </w:rPr>
      </w:pPr>
      <w:r>
        <w:rPr>
          <w:rFonts w:hint="eastAsia"/>
          <w:b/>
          <w:bCs/>
          <w:snapToGrid w:val="0"/>
          <w:color w:val="000000" w:themeColor="text1"/>
          <w:spacing w:val="8"/>
          <w:sz w:val="24"/>
          <w:szCs w:val="24"/>
          <w:lang w:val="en-US" w:eastAsia="zh-CN"/>
        </w:rPr>
        <w:t>七</w:t>
      </w:r>
      <w:r>
        <w:rPr>
          <w:rFonts w:hint="eastAsia"/>
          <w:b/>
          <w:bCs/>
          <w:snapToGrid w:val="0"/>
          <w:color w:val="000000" w:themeColor="text1"/>
          <w:spacing w:val="8"/>
          <w:sz w:val="24"/>
          <w:szCs w:val="24"/>
          <w:lang w:eastAsia="zh-CN"/>
        </w:rPr>
        <w:t>、联系方式</w:t>
      </w:r>
      <w:r>
        <w:rPr>
          <w:rFonts w:hint="eastAsia"/>
          <w:sz w:val="24"/>
          <w:szCs w:val="24"/>
          <w:lang w:eastAsia="zh-CN"/>
        </w:rPr>
        <w:t xml:space="preserve"> </w:t>
      </w:r>
    </w:p>
    <w:p>
      <w:pPr>
        <w:keepNext w:val="0"/>
        <w:keepLines w:val="0"/>
        <w:pageBreakBefore w:val="0"/>
        <w:tabs>
          <w:tab w:val="left" w:pos="709"/>
        </w:tabs>
        <w:kinsoku/>
        <w:wordWrap/>
        <w:overflowPunct/>
        <w:topLinePunct w:val="0"/>
        <w:bidi w:val="0"/>
        <w:adjustRightInd/>
        <w:snapToGrid/>
        <w:spacing w:line="600" w:lineRule="exact"/>
        <w:ind w:firstLine="480" w:firstLineChars="200"/>
        <w:rPr>
          <w:rFonts w:hint="eastAsia"/>
          <w:color w:val="000000" w:themeColor="text1"/>
          <w:sz w:val="24"/>
          <w:szCs w:val="24"/>
          <w:lang w:eastAsia="zh-CN"/>
        </w:rPr>
      </w:pPr>
      <w:r>
        <w:rPr>
          <w:rFonts w:hint="eastAsia"/>
          <w:color w:val="000000" w:themeColor="text1"/>
          <w:sz w:val="24"/>
          <w:szCs w:val="24"/>
          <w:lang w:eastAsia="zh-CN"/>
        </w:rPr>
        <w:t>商务联系人：</w:t>
      </w:r>
      <w:r>
        <w:rPr>
          <w:rFonts w:hint="eastAsia"/>
          <w:color w:val="000000" w:themeColor="text1"/>
          <w:sz w:val="24"/>
          <w:szCs w:val="24"/>
          <w:lang w:val="en-US" w:eastAsia="zh-CN"/>
        </w:rPr>
        <w:t>徐明兴</w:t>
      </w:r>
      <w:r>
        <w:rPr>
          <w:rFonts w:hint="eastAsia"/>
          <w:color w:val="000000" w:themeColor="text1"/>
          <w:sz w:val="24"/>
          <w:szCs w:val="24"/>
          <w:lang w:eastAsia="zh-CN"/>
        </w:rPr>
        <w:t xml:space="preserve"> 电话：</w:t>
      </w:r>
      <w:r>
        <w:rPr>
          <w:rFonts w:hint="eastAsia"/>
          <w:color w:val="000000" w:themeColor="text1"/>
          <w:sz w:val="24"/>
          <w:szCs w:val="24"/>
          <w:lang w:val="en-US" w:eastAsia="zh-CN"/>
        </w:rPr>
        <w:t>13779967252</w:t>
      </w:r>
      <w:r>
        <w:rPr>
          <w:rFonts w:hint="eastAsia"/>
          <w:color w:val="000000" w:themeColor="text1"/>
          <w:sz w:val="24"/>
          <w:szCs w:val="24"/>
          <w:lang w:eastAsia="zh-CN"/>
        </w:rPr>
        <w:t xml:space="preserve"> 邮箱：</w:t>
      </w:r>
      <w:r>
        <w:rPr>
          <w:rFonts w:hint="eastAsia"/>
          <w:color w:val="000000" w:themeColor="text1"/>
          <w:sz w:val="24"/>
          <w:szCs w:val="24"/>
          <w:lang w:val="en-US" w:eastAsia="zh-CN"/>
        </w:rPr>
        <w:fldChar w:fldCharType="begin"/>
      </w:r>
      <w:r>
        <w:rPr>
          <w:rFonts w:hint="eastAsia"/>
          <w:color w:val="000000" w:themeColor="text1"/>
          <w:sz w:val="24"/>
          <w:szCs w:val="24"/>
          <w:lang w:val="en-US" w:eastAsia="zh-CN"/>
        </w:rPr>
        <w:instrText xml:space="preserve"> HYPERLINK "mailto:xumx@fhcpec.com.cn" </w:instrText>
      </w:r>
      <w:r>
        <w:rPr>
          <w:rFonts w:hint="eastAsia"/>
          <w:color w:val="000000" w:themeColor="text1"/>
          <w:sz w:val="24"/>
          <w:szCs w:val="24"/>
          <w:lang w:val="en-US" w:eastAsia="zh-CN"/>
        </w:rPr>
        <w:fldChar w:fldCharType="separate"/>
      </w:r>
      <w:r>
        <w:rPr>
          <w:rStyle w:val="54"/>
          <w:rFonts w:hint="eastAsia"/>
          <w:sz w:val="24"/>
          <w:szCs w:val="24"/>
          <w:lang w:val="en-US" w:eastAsia="zh-CN"/>
        </w:rPr>
        <w:t>xumx</w:t>
      </w:r>
      <w:r>
        <w:rPr>
          <w:rStyle w:val="54"/>
          <w:rFonts w:hint="eastAsia"/>
          <w:sz w:val="24"/>
          <w:szCs w:val="24"/>
          <w:lang w:eastAsia="zh-CN"/>
        </w:rPr>
        <w:t>@fhcpec.com.cn</w:t>
      </w:r>
      <w:r>
        <w:rPr>
          <w:rFonts w:hint="eastAsia"/>
          <w:color w:val="000000" w:themeColor="text1"/>
          <w:sz w:val="24"/>
          <w:szCs w:val="24"/>
          <w:lang w:val="en-US" w:eastAsia="zh-CN"/>
        </w:rPr>
        <w:fldChar w:fldCharType="end"/>
      </w:r>
    </w:p>
    <w:p>
      <w:pPr>
        <w:pStyle w:val="21"/>
        <w:keepNext w:val="0"/>
        <w:keepLines w:val="0"/>
        <w:pageBreakBefore w:val="0"/>
        <w:kinsoku/>
        <w:wordWrap/>
        <w:overflowPunct/>
        <w:topLinePunct w:val="0"/>
        <w:bidi w:val="0"/>
        <w:adjustRightInd/>
        <w:snapToGrid/>
        <w:spacing w:line="600" w:lineRule="exact"/>
        <w:ind w:right="121" w:firstLine="480" w:firstLineChars="200"/>
        <w:jc w:val="both"/>
        <w:rPr>
          <w:lang w:eastAsia="zh-CN"/>
        </w:rPr>
      </w:pPr>
      <w:r>
        <w:rPr>
          <w:rFonts w:hint="eastAsia"/>
          <w:lang w:eastAsia="zh-CN"/>
        </w:rPr>
        <w:t>技术联系人</w:t>
      </w:r>
      <w:r>
        <w:rPr>
          <w:rFonts w:hint="default"/>
          <w:lang w:val="en-US" w:eastAsia="zh-CN"/>
        </w:rPr>
        <w:t xml:space="preserve">: </w:t>
      </w:r>
      <w:r>
        <w:rPr>
          <w:rFonts w:hint="eastAsia"/>
          <w:color w:val="000000" w:themeColor="text1"/>
          <w:sz w:val="24"/>
          <w:szCs w:val="24"/>
          <w:lang w:val="en-US" w:eastAsia="zh-CN"/>
        </w:rPr>
        <w:t>林明章 15860222271,linmz@fhcpec.com.cn</w:t>
      </w:r>
    </w:p>
    <w:p>
      <w:pPr>
        <w:keepNext w:val="0"/>
        <w:keepLines w:val="0"/>
        <w:pageBreakBefore w:val="0"/>
        <w:tabs>
          <w:tab w:val="left" w:pos="709"/>
        </w:tabs>
        <w:kinsoku/>
        <w:wordWrap/>
        <w:overflowPunct/>
        <w:topLinePunct w:val="0"/>
        <w:bidi w:val="0"/>
        <w:adjustRightInd/>
        <w:snapToGrid/>
        <w:spacing w:line="600" w:lineRule="exact"/>
        <w:ind w:firstLine="480" w:firstLineChars="200"/>
        <w:rPr>
          <w:color w:val="000000" w:themeColor="text1"/>
          <w:sz w:val="24"/>
          <w:szCs w:val="24"/>
          <w:lang w:eastAsia="zh-CN"/>
        </w:rPr>
      </w:pPr>
      <w:r>
        <w:rPr>
          <w:rFonts w:hint="eastAsia"/>
          <w:color w:val="000000" w:themeColor="text1"/>
          <w:sz w:val="24"/>
          <w:szCs w:val="24"/>
          <w:lang w:eastAsia="zh-CN"/>
        </w:rPr>
        <w:t xml:space="preserve">纪检监察室电话：0596-6311774  </w:t>
      </w:r>
    </w:p>
    <w:p>
      <w:pPr>
        <w:keepNext w:val="0"/>
        <w:keepLines w:val="0"/>
        <w:pageBreakBefore w:val="0"/>
        <w:tabs>
          <w:tab w:val="left" w:pos="709"/>
        </w:tabs>
        <w:kinsoku/>
        <w:wordWrap/>
        <w:overflowPunct/>
        <w:topLinePunct w:val="0"/>
        <w:bidi w:val="0"/>
        <w:adjustRightInd/>
        <w:snapToGrid/>
        <w:spacing w:line="600" w:lineRule="exact"/>
        <w:ind w:firstLine="480" w:firstLineChars="200"/>
        <w:rPr>
          <w:color w:val="000000" w:themeColor="text1"/>
          <w:sz w:val="24"/>
          <w:szCs w:val="24"/>
          <w:lang w:eastAsia="zh-CN"/>
        </w:rPr>
      </w:pPr>
      <w:r>
        <w:rPr>
          <w:rFonts w:hint="eastAsia"/>
          <w:color w:val="000000" w:themeColor="text1"/>
          <w:sz w:val="24"/>
          <w:szCs w:val="24"/>
          <w:lang w:eastAsia="zh-CN"/>
        </w:rPr>
        <w:t>联系地址：漳州市漳浦县杜浔镇杜昌路9号</w:t>
      </w:r>
    </w:p>
    <w:p>
      <w:pPr>
        <w:keepNext w:val="0"/>
        <w:keepLines w:val="0"/>
        <w:pageBreakBefore w:val="0"/>
        <w:tabs>
          <w:tab w:val="left" w:pos="709"/>
        </w:tabs>
        <w:kinsoku/>
        <w:wordWrap/>
        <w:overflowPunct/>
        <w:topLinePunct w:val="0"/>
        <w:bidi w:val="0"/>
        <w:adjustRightInd/>
        <w:snapToGrid/>
        <w:spacing w:line="600" w:lineRule="exact"/>
        <w:ind w:firstLine="480" w:firstLineChars="200"/>
        <w:rPr>
          <w:sz w:val="24"/>
          <w:szCs w:val="24"/>
          <w:lang w:eastAsia="zh-CN"/>
        </w:rPr>
      </w:pPr>
      <w:r>
        <w:rPr>
          <w:rFonts w:hint="eastAsia"/>
          <w:color w:val="000000" w:themeColor="text1"/>
          <w:sz w:val="24"/>
          <w:szCs w:val="24"/>
          <w:lang w:eastAsia="zh-CN"/>
        </w:rPr>
        <w:t>邮    编：363216</w:t>
      </w:r>
    </w:p>
    <w:p>
      <w:pPr>
        <w:keepNext w:val="0"/>
        <w:keepLines w:val="0"/>
        <w:pageBreakBefore w:val="0"/>
        <w:kinsoku/>
        <w:wordWrap/>
        <w:overflowPunct/>
        <w:topLinePunct w:val="0"/>
        <w:bidi w:val="0"/>
        <w:adjustRightInd/>
        <w:snapToGrid/>
        <w:spacing w:line="600" w:lineRule="exact"/>
        <w:ind w:firstLine="480" w:firstLineChars="200"/>
        <w:rPr>
          <w:sz w:val="24"/>
          <w:szCs w:val="24"/>
          <w:lang w:eastAsia="zh-CN"/>
        </w:rPr>
      </w:pPr>
      <w:r>
        <w:rPr>
          <w:rFonts w:hint="eastAsia"/>
          <w:sz w:val="24"/>
          <w:szCs w:val="24"/>
          <w:lang w:eastAsia="zh-CN"/>
        </w:rPr>
        <w:t xml:space="preserve">                                           福建福海创石油化工有限公司 </w:t>
      </w:r>
    </w:p>
    <w:p>
      <w:pPr>
        <w:keepNext w:val="0"/>
        <w:keepLines w:val="0"/>
        <w:pageBreakBefore w:val="0"/>
        <w:kinsoku/>
        <w:wordWrap/>
        <w:overflowPunct/>
        <w:topLinePunct w:val="0"/>
        <w:bidi w:val="0"/>
        <w:adjustRightInd/>
        <w:snapToGrid/>
        <w:spacing w:line="600" w:lineRule="exact"/>
        <w:ind w:firstLine="480" w:firstLineChars="200"/>
        <w:sectPr>
          <w:footerReference r:id="rId3" w:type="default"/>
          <w:pgSz w:w="11910" w:h="16840"/>
          <w:pgMar w:top="1500" w:right="1020" w:bottom="740" w:left="1300" w:header="0" w:footer="551" w:gutter="0"/>
          <w:cols w:space="720" w:num="1"/>
        </w:sectPr>
      </w:pPr>
      <w:r>
        <w:rPr>
          <w:rFonts w:hint="eastAsia"/>
          <w:sz w:val="24"/>
          <w:szCs w:val="24"/>
          <w:lang w:eastAsia="zh-CN"/>
        </w:rPr>
        <w:t xml:space="preserve">                                                </w:t>
      </w:r>
      <w:r>
        <w:rPr>
          <w:rFonts w:hint="eastAsia"/>
          <w:color w:val="000000" w:themeColor="text1"/>
          <w:sz w:val="24"/>
          <w:szCs w:val="24"/>
          <w:lang w:eastAsia="zh-CN"/>
        </w:rPr>
        <w:t xml:space="preserve">  </w:t>
      </w:r>
      <w:r>
        <w:rPr>
          <w:color w:val="000000" w:themeColor="text1"/>
          <w:sz w:val="24"/>
          <w:szCs w:val="24"/>
          <w:lang w:eastAsia="zh-CN"/>
        </w:rPr>
        <w:t>202</w:t>
      </w:r>
      <w:r>
        <w:rPr>
          <w:rFonts w:hint="eastAsia"/>
          <w:color w:val="000000" w:themeColor="text1"/>
          <w:sz w:val="24"/>
          <w:szCs w:val="24"/>
          <w:lang w:val="en-US" w:eastAsia="zh-CN"/>
        </w:rPr>
        <w:t>3</w:t>
      </w:r>
      <w:r>
        <w:rPr>
          <w:rFonts w:hint="eastAsia"/>
          <w:color w:val="000000" w:themeColor="text1"/>
          <w:sz w:val="24"/>
          <w:szCs w:val="24"/>
          <w:lang w:eastAsia="zh-CN"/>
        </w:rPr>
        <w:t>年</w:t>
      </w:r>
      <w:r>
        <w:rPr>
          <w:rFonts w:hint="eastAsia"/>
          <w:color w:val="000000" w:themeColor="text1"/>
          <w:sz w:val="24"/>
          <w:szCs w:val="24"/>
          <w:lang w:val="en-US" w:eastAsia="zh-CN"/>
        </w:rPr>
        <w:t>4</w:t>
      </w:r>
      <w:r>
        <w:rPr>
          <w:rFonts w:hint="eastAsia"/>
          <w:color w:val="000000" w:themeColor="text1"/>
          <w:sz w:val="24"/>
          <w:szCs w:val="24"/>
          <w:lang w:eastAsia="zh-CN"/>
        </w:rPr>
        <w:t>月</w:t>
      </w:r>
      <w:r>
        <w:rPr>
          <w:rFonts w:hint="eastAsia"/>
          <w:color w:val="000000" w:themeColor="text1"/>
          <w:sz w:val="24"/>
          <w:szCs w:val="24"/>
          <w:lang w:val="en-US" w:eastAsia="zh-CN"/>
        </w:rPr>
        <w:t>26</w:t>
      </w:r>
      <w:r>
        <w:rPr>
          <w:rFonts w:hint="eastAsia"/>
          <w:color w:val="000000" w:themeColor="text1"/>
          <w:sz w:val="24"/>
          <w:szCs w:val="24"/>
          <w:lang w:eastAsia="zh-CN"/>
        </w:rPr>
        <w:t>日</w:t>
      </w:r>
    </w:p>
    <w:p>
      <w:pPr>
        <w:rPr>
          <w:sz w:val="28"/>
          <w:u w:val="single"/>
          <w:lang w:eastAsia="zh-CN"/>
        </w:rPr>
      </w:pPr>
    </w:p>
    <w:sectPr>
      <w:footerReference r:id="rId4" w:type="default"/>
      <w:pgSz w:w="11910" w:h="16840"/>
      <w:pgMar w:top="1500" w:right="1680" w:bottom="740" w:left="1680" w:header="0" w:footer="5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仿宋_GB2312">
    <w:altName w:val="仿宋"/>
    <w:panose1 w:val="00000000000000000000"/>
    <w:charset w:val="86"/>
    <w:family w:val="auto"/>
    <w:pitch w:val="default"/>
    <w:sig w:usb0="00000000" w:usb1="00000000" w:usb2="00000000" w:usb3="00000000" w:csb0="00040000" w:csb1="00000000"/>
  </w:font>
  <w:font w:name="五">
    <w:altName w:val="黑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6900821"/>
    </w:sdtPr>
    <w:sdtContent>
      <w:sdt>
        <w:sdtPr>
          <w:id w:val="2119642350"/>
        </w:sdtPr>
        <w:sdtContent>
          <w:p>
            <w:pPr>
              <w:pStyle w:val="30"/>
              <w:jc w:val="center"/>
            </w:pP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rPr>
              <w:t>9</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27</w:t>
            </w:r>
            <w:r>
              <w:rPr>
                <w:b/>
                <w:bCs/>
                <w:sz w:val="24"/>
                <w:szCs w:val="24"/>
              </w:rPr>
              <w:fldChar w:fldCharType="end"/>
            </w:r>
          </w:p>
        </w:sdtContent>
      </w:sdt>
    </w:sdtContent>
  </w:sdt>
  <w:p>
    <w:pPr>
      <w:pStyle w:val="21"/>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3371223"/>
    </w:sdtPr>
    <w:sdtContent>
      <w:p>
        <w:pPr>
          <w:pStyle w:val="30"/>
          <w:jc w:val="center"/>
        </w:pPr>
        <w:r>
          <w:fldChar w:fldCharType="begin"/>
        </w:r>
        <w:r>
          <w:instrText xml:space="preserve">PAGE   \* MERGEFORMAT</w:instrText>
        </w:r>
        <w:r>
          <w:fldChar w:fldCharType="separate"/>
        </w:r>
        <w:r>
          <w:rPr>
            <w:lang w:val="zh-CN" w:eastAsia="zh-CN"/>
          </w:rPr>
          <w:t>26</w:t>
        </w:r>
        <w:r>
          <w:fldChar w:fldCharType="end"/>
        </w:r>
      </w:p>
    </w:sdtContent>
  </w:sdt>
  <w:p>
    <w:pPr>
      <w:pStyle w:val="21"/>
      <w:spacing w:line="14" w:lineRule="auto"/>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48C179"/>
    <w:multiLevelType w:val="multilevel"/>
    <w:tmpl w:val="0248C179"/>
    <w:lvl w:ilvl="0" w:tentative="0">
      <w:start w:val="2"/>
      <w:numFmt w:val="decimal"/>
      <w:pStyle w:val="46"/>
      <w:lvlText w:val="%1"/>
      <w:lvlJc w:val="left"/>
      <w:pPr>
        <w:ind w:left="118" w:hanging="420"/>
      </w:pPr>
      <w:rPr>
        <w:rFonts w:hint="default"/>
      </w:rPr>
    </w:lvl>
    <w:lvl w:ilvl="1" w:tentative="0">
      <w:start w:val="4"/>
      <w:numFmt w:val="decimal"/>
      <w:lvlText w:val="%1.%2"/>
      <w:lvlJc w:val="left"/>
      <w:pPr>
        <w:ind w:left="118" w:hanging="420"/>
      </w:pPr>
      <w:rPr>
        <w:rFonts w:hint="default" w:ascii="Times New Roman" w:hAnsi="Times New Roman" w:eastAsia="Times New Roman" w:cs="Times New Roman"/>
        <w:spacing w:val="-32"/>
        <w:w w:val="100"/>
        <w:sz w:val="24"/>
        <w:szCs w:val="24"/>
      </w:rPr>
    </w:lvl>
    <w:lvl w:ilvl="2" w:tentative="0">
      <w:start w:val="0"/>
      <w:numFmt w:val="bullet"/>
      <w:lvlText w:val="•"/>
      <w:lvlJc w:val="left"/>
      <w:pPr>
        <w:ind w:left="1994" w:hanging="420"/>
      </w:pPr>
      <w:rPr>
        <w:rFonts w:hint="default"/>
      </w:rPr>
    </w:lvl>
    <w:lvl w:ilvl="3" w:tentative="0">
      <w:start w:val="0"/>
      <w:numFmt w:val="bullet"/>
      <w:lvlText w:val="•"/>
      <w:lvlJc w:val="left"/>
      <w:pPr>
        <w:ind w:left="2931" w:hanging="420"/>
      </w:pPr>
      <w:rPr>
        <w:rFonts w:hint="default"/>
      </w:rPr>
    </w:lvl>
    <w:lvl w:ilvl="4" w:tentative="0">
      <w:start w:val="0"/>
      <w:numFmt w:val="bullet"/>
      <w:lvlText w:val="•"/>
      <w:lvlJc w:val="left"/>
      <w:pPr>
        <w:ind w:left="3868" w:hanging="420"/>
      </w:pPr>
      <w:rPr>
        <w:rFonts w:hint="default"/>
      </w:rPr>
    </w:lvl>
    <w:lvl w:ilvl="5" w:tentative="0">
      <w:start w:val="0"/>
      <w:numFmt w:val="bullet"/>
      <w:lvlText w:val="•"/>
      <w:lvlJc w:val="left"/>
      <w:pPr>
        <w:ind w:left="4805" w:hanging="420"/>
      </w:pPr>
      <w:rPr>
        <w:rFonts w:hint="default"/>
      </w:rPr>
    </w:lvl>
    <w:lvl w:ilvl="6" w:tentative="0">
      <w:start w:val="0"/>
      <w:numFmt w:val="bullet"/>
      <w:lvlText w:val="•"/>
      <w:lvlJc w:val="left"/>
      <w:pPr>
        <w:ind w:left="5742" w:hanging="420"/>
      </w:pPr>
      <w:rPr>
        <w:rFonts w:hint="default"/>
      </w:rPr>
    </w:lvl>
    <w:lvl w:ilvl="7" w:tentative="0">
      <w:start w:val="0"/>
      <w:numFmt w:val="bullet"/>
      <w:lvlText w:val="•"/>
      <w:lvlJc w:val="left"/>
      <w:pPr>
        <w:ind w:left="6679" w:hanging="420"/>
      </w:pPr>
      <w:rPr>
        <w:rFonts w:hint="default"/>
      </w:rPr>
    </w:lvl>
    <w:lvl w:ilvl="8" w:tentative="0">
      <w:start w:val="0"/>
      <w:numFmt w:val="bullet"/>
      <w:lvlText w:val="•"/>
      <w:lvlJc w:val="left"/>
      <w:pPr>
        <w:ind w:left="7616" w:hanging="420"/>
      </w:pPr>
      <w:rPr>
        <w:rFonts w:hint="default"/>
      </w:rPr>
    </w:lvl>
  </w:abstractNum>
  <w:abstractNum w:abstractNumId="1">
    <w:nsid w:val="2EC86B76"/>
    <w:multiLevelType w:val="multilevel"/>
    <w:tmpl w:val="2EC86B76"/>
    <w:lvl w:ilvl="0" w:tentative="0">
      <w:start w:val="1"/>
      <w:numFmt w:val="japaneseCounting"/>
      <w:lvlText w:val="%1、"/>
      <w:lvlJc w:val="left"/>
      <w:pPr>
        <w:ind w:left="1258" w:hanging="720"/>
      </w:pPr>
      <w:rPr>
        <w:rFonts w:hint="default"/>
      </w:rPr>
    </w:lvl>
    <w:lvl w:ilvl="1" w:tentative="0">
      <w:start w:val="1"/>
      <w:numFmt w:val="lowerLetter"/>
      <w:pStyle w:val="135"/>
      <w:lvlText w:val="%2)"/>
      <w:lvlJc w:val="left"/>
      <w:pPr>
        <w:ind w:left="1378" w:hanging="420"/>
      </w:pPr>
    </w:lvl>
    <w:lvl w:ilvl="2" w:tentative="0">
      <w:start w:val="1"/>
      <w:numFmt w:val="lowerRoman"/>
      <w:lvlText w:val="%3."/>
      <w:lvlJc w:val="right"/>
      <w:pPr>
        <w:ind w:left="1798" w:hanging="420"/>
      </w:pPr>
    </w:lvl>
    <w:lvl w:ilvl="3" w:tentative="0">
      <w:start w:val="1"/>
      <w:numFmt w:val="decimal"/>
      <w:lvlText w:val="%4."/>
      <w:lvlJc w:val="left"/>
      <w:pPr>
        <w:ind w:left="2218" w:hanging="420"/>
      </w:pPr>
    </w:lvl>
    <w:lvl w:ilvl="4" w:tentative="0">
      <w:start w:val="1"/>
      <w:numFmt w:val="lowerLetter"/>
      <w:lvlText w:val="%5)"/>
      <w:lvlJc w:val="left"/>
      <w:pPr>
        <w:ind w:left="2638" w:hanging="420"/>
      </w:pPr>
    </w:lvl>
    <w:lvl w:ilvl="5" w:tentative="0">
      <w:start w:val="1"/>
      <w:numFmt w:val="lowerRoman"/>
      <w:lvlText w:val="%6."/>
      <w:lvlJc w:val="right"/>
      <w:pPr>
        <w:ind w:left="3058" w:hanging="420"/>
      </w:pPr>
    </w:lvl>
    <w:lvl w:ilvl="6" w:tentative="0">
      <w:start w:val="1"/>
      <w:numFmt w:val="decimal"/>
      <w:lvlText w:val="%7."/>
      <w:lvlJc w:val="left"/>
      <w:pPr>
        <w:ind w:left="3478" w:hanging="420"/>
      </w:pPr>
    </w:lvl>
    <w:lvl w:ilvl="7" w:tentative="0">
      <w:start w:val="1"/>
      <w:numFmt w:val="lowerLetter"/>
      <w:lvlText w:val="%8)"/>
      <w:lvlJc w:val="left"/>
      <w:pPr>
        <w:ind w:left="3898" w:hanging="420"/>
      </w:pPr>
    </w:lvl>
    <w:lvl w:ilvl="8" w:tentative="0">
      <w:start w:val="1"/>
      <w:numFmt w:val="lowerRoman"/>
      <w:lvlText w:val="%9."/>
      <w:lvlJc w:val="right"/>
      <w:pPr>
        <w:ind w:left="4318" w:hanging="420"/>
      </w:pPr>
    </w:lvl>
  </w:abstractNum>
  <w:abstractNum w:abstractNumId="2">
    <w:nsid w:val="30014EE9"/>
    <w:multiLevelType w:val="multilevel"/>
    <w:tmpl w:val="30014EE9"/>
    <w:lvl w:ilvl="0" w:tentative="0">
      <w:start w:val="1"/>
      <w:numFmt w:val="upperLetter"/>
      <w:pStyle w:val="137"/>
      <w:lvlText w:val="%1、"/>
      <w:lvlJc w:val="left"/>
      <w:pPr>
        <w:ind w:left="988" w:hanging="390"/>
      </w:pPr>
      <w:rPr>
        <w:rFonts w:hint="default"/>
      </w:rPr>
    </w:lvl>
    <w:lvl w:ilvl="1" w:tentative="0">
      <w:start w:val="1"/>
      <w:numFmt w:val="lowerLetter"/>
      <w:lvlText w:val="%2)"/>
      <w:lvlJc w:val="left"/>
      <w:pPr>
        <w:ind w:left="1438" w:hanging="420"/>
      </w:pPr>
    </w:lvl>
    <w:lvl w:ilvl="2" w:tentative="0">
      <w:start w:val="1"/>
      <w:numFmt w:val="lowerRoman"/>
      <w:lvlText w:val="%3."/>
      <w:lvlJc w:val="right"/>
      <w:pPr>
        <w:ind w:left="1858" w:hanging="420"/>
      </w:pPr>
    </w:lvl>
    <w:lvl w:ilvl="3" w:tentative="0">
      <w:start w:val="1"/>
      <w:numFmt w:val="decimal"/>
      <w:lvlText w:val="%4."/>
      <w:lvlJc w:val="left"/>
      <w:pPr>
        <w:ind w:left="2278" w:hanging="420"/>
      </w:pPr>
    </w:lvl>
    <w:lvl w:ilvl="4" w:tentative="0">
      <w:start w:val="1"/>
      <w:numFmt w:val="lowerLetter"/>
      <w:lvlText w:val="%5)"/>
      <w:lvlJc w:val="left"/>
      <w:pPr>
        <w:ind w:left="2698" w:hanging="420"/>
      </w:pPr>
    </w:lvl>
    <w:lvl w:ilvl="5" w:tentative="0">
      <w:start w:val="1"/>
      <w:numFmt w:val="lowerRoman"/>
      <w:lvlText w:val="%6."/>
      <w:lvlJc w:val="right"/>
      <w:pPr>
        <w:ind w:left="3118" w:hanging="420"/>
      </w:pPr>
    </w:lvl>
    <w:lvl w:ilvl="6" w:tentative="0">
      <w:start w:val="1"/>
      <w:numFmt w:val="decimal"/>
      <w:lvlText w:val="%7."/>
      <w:lvlJc w:val="left"/>
      <w:pPr>
        <w:ind w:left="3538" w:hanging="420"/>
      </w:pPr>
    </w:lvl>
    <w:lvl w:ilvl="7" w:tentative="0">
      <w:start w:val="1"/>
      <w:numFmt w:val="lowerLetter"/>
      <w:lvlText w:val="%8)"/>
      <w:lvlJc w:val="left"/>
      <w:pPr>
        <w:ind w:left="3958" w:hanging="420"/>
      </w:pPr>
    </w:lvl>
    <w:lvl w:ilvl="8" w:tentative="0">
      <w:start w:val="1"/>
      <w:numFmt w:val="lowerRoman"/>
      <w:lvlText w:val="%9."/>
      <w:lvlJc w:val="right"/>
      <w:pPr>
        <w:ind w:left="4378" w:hanging="420"/>
      </w:pPr>
    </w:lvl>
  </w:abstractNum>
  <w:abstractNum w:abstractNumId="3">
    <w:nsid w:val="3A451854"/>
    <w:multiLevelType w:val="multilevel"/>
    <w:tmpl w:val="3A451854"/>
    <w:lvl w:ilvl="0" w:tentative="0">
      <w:start w:val="1"/>
      <w:numFmt w:val="chineseCountingThousand"/>
      <w:pStyle w:val="182"/>
      <w:lvlText w:val="第%1章 "/>
      <w:lvlJc w:val="left"/>
      <w:pPr>
        <w:tabs>
          <w:tab w:val="left" w:pos="425"/>
        </w:tabs>
        <w:ind w:left="0" w:firstLine="0"/>
      </w:pPr>
      <w:rPr>
        <w:rFonts w:hint="eastAsia" w:ascii="宋体" w:eastAsia="宋体"/>
        <w:b/>
        <w:i w:val="0"/>
        <w:sz w:val="32"/>
        <w:szCs w:val="32"/>
      </w:rPr>
    </w:lvl>
    <w:lvl w:ilvl="1" w:tentative="0">
      <w:start w:val="1"/>
      <w:numFmt w:val="decimal"/>
      <w:pStyle w:val="183"/>
      <w:lvlText w:val="第%2节"/>
      <w:lvlJc w:val="left"/>
      <w:pPr>
        <w:tabs>
          <w:tab w:val="left" w:pos="992"/>
        </w:tabs>
        <w:ind w:left="0" w:firstLine="0"/>
      </w:pPr>
      <w:rPr>
        <w:rFonts w:hint="eastAsia" w:ascii="宋体" w:eastAsia="宋体"/>
        <w:b/>
        <w:i w:val="0"/>
        <w:sz w:val="30"/>
        <w:szCs w:val="30"/>
      </w:rPr>
    </w:lvl>
    <w:lvl w:ilvl="2" w:tentative="0">
      <w:start w:val="1"/>
      <w:numFmt w:val="decimal"/>
      <w:pStyle w:val="184"/>
      <w:lvlText w:val="%3"/>
      <w:lvlJc w:val="left"/>
      <w:pPr>
        <w:tabs>
          <w:tab w:val="left" w:pos="567"/>
        </w:tabs>
        <w:ind w:left="0" w:firstLine="0"/>
      </w:pPr>
      <w:rPr>
        <w:rFonts w:hint="eastAsia" w:ascii="宋体" w:eastAsia="宋体"/>
        <w:b/>
        <w:i w:val="0"/>
        <w:sz w:val="24"/>
        <w:szCs w:val="24"/>
      </w:rPr>
    </w:lvl>
    <w:lvl w:ilvl="3" w:tentative="0">
      <w:start w:val="1"/>
      <w:numFmt w:val="decimal"/>
      <w:pStyle w:val="185"/>
      <w:lvlText w:val="%3.%4"/>
      <w:lvlJc w:val="left"/>
      <w:pPr>
        <w:tabs>
          <w:tab w:val="left" w:pos="737"/>
        </w:tabs>
        <w:ind w:left="0" w:firstLine="284"/>
      </w:pPr>
      <w:rPr>
        <w:rFonts w:hint="eastAsia" w:ascii="宋体" w:eastAsia="宋体"/>
        <w:b/>
        <w:i w:val="0"/>
        <w:sz w:val="24"/>
        <w:szCs w:val="24"/>
      </w:rPr>
    </w:lvl>
    <w:lvl w:ilvl="4" w:tentative="0">
      <w:start w:val="1"/>
      <w:numFmt w:val="decimal"/>
      <w:pStyle w:val="186"/>
      <w:lvlText w:val="6.4.%5"/>
      <w:lvlJc w:val="left"/>
      <w:pPr>
        <w:tabs>
          <w:tab w:val="left" w:pos="907"/>
        </w:tabs>
        <w:ind w:left="0" w:firstLine="0"/>
      </w:pPr>
      <w:rPr>
        <w:rFonts w:hint="eastAsia" w:ascii="宋体" w:eastAsia="宋体"/>
        <w:b w:val="0"/>
        <w:i w:val="0"/>
        <w:sz w:val="24"/>
        <w:szCs w:val="24"/>
      </w:rPr>
    </w:lvl>
    <w:lvl w:ilvl="5" w:tentative="0">
      <w:start w:val="1"/>
      <w:numFmt w:val="decimal"/>
      <w:pStyle w:val="187"/>
      <w:lvlText w:val="%3.%4.%5.%6"/>
      <w:lvlJc w:val="left"/>
      <w:pPr>
        <w:tabs>
          <w:tab w:val="left" w:pos="1021"/>
        </w:tabs>
        <w:ind w:left="0" w:firstLine="0"/>
      </w:pPr>
      <w:rPr>
        <w:rFonts w:hint="eastAsia" w:ascii="宋体" w:eastAsia="宋体"/>
        <w:b w:val="0"/>
        <w:i w:val="0"/>
        <w:sz w:val="24"/>
        <w:szCs w:val="24"/>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
    <w:nsid w:val="5A241D34"/>
    <w:multiLevelType w:val="multilevel"/>
    <w:tmpl w:val="5A241D34"/>
    <w:lvl w:ilvl="0" w:tentative="0">
      <w:start w:val="1"/>
      <w:numFmt w:val="decimal"/>
      <w:pStyle w:val="16"/>
      <w:lvlText w:val="%1."/>
      <w:lvlJc w:val="left"/>
      <w:pPr>
        <w:ind w:left="6778" w:hanging="6300"/>
      </w:pPr>
      <w:rPr>
        <w:rFonts w:hint="default" w:ascii="Times New Roman" w:hAnsi="Times New Roman" w:eastAsia="Times New Roman" w:cs="Times New Roman"/>
        <w:w w:val="100"/>
        <w:sz w:val="24"/>
        <w:szCs w:val="24"/>
      </w:rPr>
    </w:lvl>
    <w:lvl w:ilvl="1" w:tentative="0">
      <w:start w:val="0"/>
      <w:numFmt w:val="bullet"/>
      <w:lvlText w:val="•"/>
      <w:lvlJc w:val="left"/>
      <w:pPr>
        <w:ind w:left="7061" w:hanging="6300"/>
      </w:pPr>
      <w:rPr>
        <w:rFonts w:hint="default"/>
      </w:rPr>
    </w:lvl>
    <w:lvl w:ilvl="2" w:tentative="0">
      <w:start w:val="0"/>
      <w:numFmt w:val="bullet"/>
      <w:lvlText w:val="•"/>
      <w:lvlJc w:val="left"/>
      <w:pPr>
        <w:ind w:left="7342" w:hanging="6300"/>
      </w:pPr>
      <w:rPr>
        <w:rFonts w:hint="default"/>
      </w:rPr>
    </w:lvl>
    <w:lvl w:ilvl="3" w:tentative="0">
      <w:start w:val="0"/>
      <w:numFmt w:val="bullet"/>
      <w:lvlText w:val="•"/>
      <w:lvlJc w:val="left"/>
      <w:pPr>
        <w:ind w:left="7623" w:hanging="6300"/>
      </w:pPr>
      <w:rPr>
        <w:rFonts w:hint="default"/>
      </w:rPr>
    </w:lvl>
    <w:lvl w:ilvl="4" w:tentative="0">
      <w:start w:val="0"/>
      <w:numFmt w:val="bullet"/>
      <w:lvlText w:val="•"/>
      <w:lvlJc w:val="left"/>
      <w:pPr>
        <w:ind w:left="7904" w:hanging="6300"/>
      </w:pPr>
      <w:rPr>
        <w:rFonts w:hint="default"/>
      </w:rPr>
    </w:lvl>
    <w:lvl w:ilvl="5" w:tentative="0">
      <w:start w:val="0"/>
      <w:numFmt w:val="bullet"/>
      <w:lvlText w:val="•"/>
      <w:lvlJc w:val="left"/>
      <w:pPr>
        <w:ind w:left="8185" w:hanging="6300"/>
      </w:pPr>
      <w:rPr>
        <w:rFonts w:hint="default"/>
      </w:rPr>
    </w:lvl>
    <w:lvl w:ilvl="6" w:tentative="0">
      <w:start w:val="0"/>
      <w:numFmt w:val="bullet"/>
      <w:lvlText w:val="•"/>
      <w:lvlJc w:val="left"/>
      <w:pPr>
        <w:ind w:left="8466" w:hanging="6300"/>
      </w:pPr>
      <w:rPr>
        <w:rFonts w:hint="default"/>
      </w:rPr>
    </w:lvl>
    <w:lvl w:ilvl="7" w:tentative="0">
      <w:start w:val="0"/>
      <w:numFmt w:val="bullet"/>
      <w:lvlText w:val="•"/>
      <w:lvlJc w:val="left"/>
      <w:pPr>
        <w:ind w:left="8747" w:hanging="6300"/>
      </w:pPr>
      <w:rPr>
        <w:rFonts w:hint="default"/>
      </w:rPr>
    </w:lvl>
    <w:lvl w:ilvl="8" w:tentative="0">
      <w:start w:val="0"/>
      <w:numFmt w:val="bullet"/>
      <w:lvlText w:val="•"/>
      <w:lvlJc w:val="left"/>
      <w:pPr>
        <w:ind w:left="9028" w:hanging="6300"/>
      </w:pPr>
      <w:rPr>
        <w:rFonts w:hint="default"/>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2"/>
  </w:compat>
  <w:docVars>
    <w:docVar w:name="commondata" w:val="eyJoZGlkIjoiNGYwZDdhODNlMmM3NjQ3OGUyNjYwYTRmNmIzZTYzMjQifQ=="/>
    <w:docVar w:name="KSO_WPS_MARK_KEY" w:val="65218237-2e85-4982-bddf-1380722e384e"/>
  </w:docVars>
  <w:rsids>
    <w:rsidRoot w:val="00967702"/>
    <w:rsid w:val="000004E6"/>
    <w:rsid w:val="000010FA"/>
    <w:rsid w:val="00001416"/>
    <w:rsid w:val="000034C1"/>
    <w:rsid w:val="00004C5E"/>
    <w:rsid w:val="00025717"/>
    <w:rsid w:val="000277D1"/>
    <w:rsid w:val="000367ED"/>
    <w:rsid w:val="00037D7F"/>
    <w:rsid w:val="00052C0E"/>
    <w:rsid w:val="00053AFA"/>
    <w:rsid w:val="00055F7B"/>
    <w:rsid w:val="00057E4C"/>
    <w:rsid w:val="000600D0"/>
    <w:rsid w:val="00060DB7"/>
    <w:rsid w:val="00065E22"/>
    <w:rsid w:val="000674E3"/>
    <w:rsid w:val="00074760"/>
    <w:rsid w:val="00074EAF"/>
    <w:rsid w:val="00085CA2"/>
    <w:rsid w:val="00092243"/>
    <w:rsid w:val="0009500D"/>
    <w:rsid w:val="000962C0"/>
    <w:rsid w:val="000A1C86"/>
    <w:rsid w:val="000A6182"/>
    <w:rsid w:val="000B0914"/>
    <w:rsid w:val="000B2F35"/>
    <w:rsid w:val="000C1FAD"/>
    <w:rsid w:val="000C57EB"/>
    <w:rsid w:val="000C629C"/>
    <w:rsid w:val="000D1175"/>
    <w:rsid w:val="000D1503"/>
    <w:rsid w:val="000D1AB8"/>
    <w:rsid w:val="000D35CF"/>
    <w:rsid w:val="000D51F3"/>
    <w:rsid w:val="000E505B"/>
    <w:rsid w:val="000F116F"/>
    <w:rsid w:val="000F15E9"/>
    <w:rsid w:val="000F27AD"/>
    <w:rsid w:val="000F39C1"/>
    <w:rsid w:val="000F4255"/>
    <w:rsid w:val="00101100"/>
    <w:rsid w:val="0011079D"/>
    <w:rsid w:val="00111D19"/>
    <w:rsid w:val="00112B7E"/>
    <w:rsid w:val="001150C5"/>
    <w:rsid w:val="00122E24"/>
    <w:rsid w:val="0012681B"/>
    <w:rsid w:val="00130886"/>
    <w:rsid w:val="00135AC9"/>
    <w:rsid w:val="00142384"/>
    <w:rsid w:val="001427F4"/>
    <w:rsid w:val="00142830"/>
    <w:rsid w:val="00146977"/>
    <w:rsid w:val="001507FD"/>
    <w:rsid w:val="00150CB0"/>
    <w:rsid w:val="00154D53"/>
    <w:rsid w:val="00154EB4"/>
    <w:rsid w:val="00164170"/>
    <w:rsid w:val="001660AB"/>
    <w:rsid w:val="0017327B"/>
    <w:rsid w:val="00177E03"/>
    <w:rsid w:val="0018116F"/>
    <w:rsid w:val="00182B0E"/>
    <w:rsid w:val="00185C58"/>
    <w:rsid w:val="001861E4"/>
    <w:rsid w:val="00192465"/>
    <w:rsid w:val="00193470"/>
    <w:rsid w:val="00193817"/>
    <w:rsid w:val="00195D79"/>
    <w:rsid w:val="001A6EE7"/>
    <w:rsid w:val="001B07AA"/>
    <w:rsid w:val="001B5CD4"/>
    <w:rsid w:val="001B698B"/>
    <w:rsid w:val="001C0DB4"/>
    <w:rsid w:val="001C3DDE"/>
    <w:rsid w:val="001C5843"/>
    <w:rsid w:val="001D13DE"/>
    <w:rsid w:val="001E3C0E"/>
    <w:rsid w:val="001E5BEC"/>
    <w:rsid w:val="001F3956"/>
    <w:rsid w:val="001F3D0A"/>
    <w:rsid w:val="00200CED"/>
    <w:rsid w:val="0020141D"/>
    <w:rsid w:val="00210B50"/>
    <w:rsid w:val="00222EE5"/>
    <w:rsid w:val="00227556"/>
    <w:rsid w:val="002305DA"/>
    <w:rsid w:val="002318C1"/>
    <w:rsid w:val="00233571"/>
    <w:rsid w:val="002336A1"/>
    <w:rsid w:val="00241E6B"/>
    <w:rsid w:val="00242301"/>
    <w:rsid w:val="002427A9"/>
    <w:rsid w:val="002431E7"/>
    <w:rsid w:val="002451B2"/>
    <w:rsid w:val="0024625A"/>
    <w:rsid w:val="0025699E"/>
    <w:rsid w:val="002578E6"/>
    <w:rsid w:val="00263085"/>
    <w:rsid w:val="002648A2"/>
    <w:rsid w:val="00270CE4"/>
    <w:rsid w:val="00273DCB"/>
    <w:rsid w:val="002855A5"/>
    <w:rsid w:val="002859D4"/>
    <w:rsid w:val="00285F4F"/>
    <w:rsid w:val="00287A75"/>
    <w:rsid w:val="00290ADB"/>
    <w:rsid w:val="00290B7A"/>
    <w:rsid w:val="002971E6"/>
    <w:rsid w:val="002A4126"/>
    <w:rsid w:val="002A68F0"/>
    <w:rsid w:val="002B042F"/>
    <w:rsid w:val="002B3B47"/>
    <w:rsid w:val="002B6416"/>
    <w:rsid w:val="002C6A2D"/>
    <w:rsid w:val="002D4CF8"/>
    <w:rsid w:val="002E0F0C"/>
    <w:rsid w:val="002E3036"/>
    <w:rsid w:val="002E49DF"/>
    <w:rsid w:val="002E4DB0"/>
    <w:rsid w:val="002E6175"/>
    <w:rsid w:val="002F34BA"/>
    <w:rsid w:val="002F6800"/>
    <w:rsid w:val="002F755A"/>
    <w:rsid w:val="003053B9"/>
    <w:rsid w:val="003102D1"/>
    <w:rsid w:val="003221F4"/>
    <w:rsid w:val="00322502"/>
    <w:rsid w:val="00322549"/>
    <w:rsid w:val="00326AED"/>
    <w:rsid w:val="003302EE"/>
    <w:rsid w:val="00331810"/>
    <w:rsid w:val="0033277A"/>
    <w:rsid w:val="003344D9"/>
    <w:rsid w:val="003355C7"/>
    <w:rsid w:val="00342B24"/>
    <w:rsid w:val="003456D2"/>
    <w:rsid w:val="00347C37"/>
    <w:rsid w:val="00350BD1"/>
    <w:rsid w:val="00351BB3"/>
    <w:rsid w:val="003603CD"/>
    <w:rsid w:val="003635DF"/>
    <w:rsid w:val="00364EB1"/>
    <w:rsid w:val="00365CCD"/>
    <w:rsid w:val="00373697"/>
    <w:rsid w:val="00376FF9"/>
    <w:rsid w:val="00383DFA"/>
    <w:rsid w:val="00383FD8"/>
    <w:rsid w:val="00385474"/>
    <w:rsid w:val="00387574"/>
    <w:rsid w:val="00392040"/>
    <w:rsid w:val="0039324B"/>
    <w:rsid w:val="003A16AE"/>
    <w:rsid w:val="003B3C4F"/>
    <w:rsid w:val="003B3F6B"/>
    <w:rsid w:val="003B6804"/>
    <w:rsid w:val="003B7CBD"/>
    <w:rsid w:val="003C1AF2"/>
    <w:rsid w:val="003E37C1"/>
    <w:rsid w:val="003E422E"/>
    <w:rsid w:val="003F3600"/>
    <w:rsid w:val="003F5B96"/>
    <w:rsid w:val="003F614D"/>
    <w:rsid w:val="003F6A6B"/>
    <w:rsid w:val="004022EC"/>
    <w:rsid w:val="0040417A"/>
    <w:rsid w:val="00405092"/>
    <w:rsid w:val="00407E93"/>
    <w:rsid w:val="00410C69"/>
    <w:rsid w:val="0041197D"/>
    <w:rsid w:val="00413501"/>
    <w:rsid w:val="00420DB7"/>
    <w:rsid w:val="00432036"/>
    <w:rsid w:val="00437706"/>
    <w:rsid w:val="00437CA2"/>
    <w:rsid w:val="0046376D"/>
    <w:rsid w:val="00465443"/>
    <w:rsid w:val="00465D19"/>
    <w:rsid w:val="0047282D"/>
    <w:rsid w:val="0047402F"/>
    <w:rsid w:val="00481DEF"/>
    <w:rsid w:val="00482DD6"/>
    <w:rsid w:val="004835AF"/>
    <w:rsid w:val="00490A62"/>
    <w:rsid w:val="0049126B"/>
    <w:rsid w:val="00492D04"/>
    <w:rsid w:val="004941B1"/>
    <w:rsid w:val="00494C07"/>
    <w:rsid w:val="004A13AF"/>
    <w:rsid w:val="004A46AD"/>
    <w:rsid w:val="004A498D"/>
    <w:rsid w:val="004C16AE"/>
    <w:rsid w:val="004C4B54"/>
    <w:rsid w:val="004D6A19"/>
    <w:rsid w:val="00500D74"/>
    <w:rsid w:val="00505560"/>
    <w:rsid w:val="00513D5D"/>
    <w:rsid w:val="00514AFE"/>
    <w:rsid w:val="00533119"/>
    <w:rsid w:val="005339E0"/>
    <w:rsid w:val="005345C8"/>
    <w:rsid w:val="005369F4"/>
    <w:rsid w:val="0054092C"/>
    <w:rsid w:val="00547AD0"/>
    <w:rsid w:val="005518F3"/>
    <w:rsid w:val="00555E59"/>
    <w:rsid w:val="00564136"/>
    <w:rsid w:val="00565CF8"/>
    <w:rsid w:val="00574DAE"/>
    <w:rsid w:val="0057705C"/>
    <w:rsid w:val="00581B11"/>
    <w:rsid w:val="0058671D"/>
    <w:rsid w:val="00593DEA"/>
    <w:rsid w:val="00595F8F"/>
    <w:rsid w:val="005A4D52"/>
    <w:rsid w:val="005B4BA0"/>
    <w:rsid w:val="005B6211"/>
    <w:rsid w:val="005C6A76"/>
    <w:rsid w:val="005D5BB2"/>
    <w:rsid w:val="005E2211"/>
    <w:rsid w:val="005E2CFD"/>
    <w:rsid w:val="005E2EB3"/>
    <w:rsid w:val="005E7AF2"/>
    <w:rsid w:val="005F21D1"/>
    <w:rsid w:val="005F32BA"/>
    <w:rsid w:val="005F4BA4"/>
    <w:rsid w:val="00603968"/>
    <w:rsid w:val="00606A94"/>
    <w:rsid w:val="00611D91"/>
    <w:rsid w:val="006149C8"/>
    <w:rsid w:val="006152B6"/>
    <w:rsid w:val="00622985"/>
    <w:rsid w:val="006238C7"/>
    <w:rsid w:val="006238EE"/>
    <w:rsid w:val="00624F51"/>
    <w:rsid w:val="006268B0"/>
    <w:rsid w:val="00630128"/>
    <w:rsid w:val="006312AB"/>
    <w:rsid w:val="00631F92"/>
    <w:rsid w:val="00632468"/>
    <w:rsid w:val="00632E52"/>
    <w:rsid w:val="00642E61"/>
    <w:rsid w:val="006458DE"/>
    <w:rsid w:val="00647AA3"/>
    <w:rsid w:val="0065429C"/>
    <w:rsid w:val="00662C51"/>
    <w:rsid w:val="006631EB"/>
    <w:rsid w:val="00663FF4"/>
    <w:rsid w:val="00664A57"/>
    <w:rsid w:val="00664E56"/>
    <w:rsid w:val="0067747B"/>
    <w:rsid w:val="00684001"/>
    <w:rsid w:val="0068543C"/>
    <w:rsid w:val="006940F9"/>
    <w:rsid w:val="00694FFE"/>
    <w:rsid w:val="006A232A"/>
    <w:rsid w:val="006A79DD"/>
    <w:rsid w:val="006A7D0D"/>
    <w:rsid w:val="006A7EA8"/>
    <w:rsid w:val="006B17F7"/>
    <w:rsid w:val="006B21C2"/>
    <w:rsid w:val="006B3CB3"/>
    <w:rsid w:val="006B4F7B"/>
    <w:rsid w:val="006B5CDC"/>
    <w:rsid w:val="006B5E39"/>
    <w:rsid w:val="006B79D7"/>
    <w:rsid w:val="006C1395"/>
    <w:rsid w:val="006C3A25"/>
    <w:rsid w:val="006C775E"/>
    <w:rsid w:val="006D4F96"/>
    <w:rsid w:val="006D6EE0"/>
    <w:rsid w:val="006E0A7C"/>
    <w:rsid w:val="006E0FCB"/>
    <w:rsid w:val="006E25FB"/>
    <w:rsid w:val="006E3B36"/>
    <w:rsid w:val="006E6D55"/>
    <w:rsid w:val="006F0262"/>
    <w:rsid w:val="006F3EAD"/>
    <w:rsid w:val="0070006F"/>
    <w:rsid w:val="00701816"/>
    <w:rsid w:val="00701DE6"/>
    <w:rsid w:val="0070392A"/>
    <w:rsid w:val="007072CB"/>
    <w:rsid w:val="0071080A"/>
    <w:rsid w:val="00711047"/>
    <w:rsid w:val="00713C5D"/>
    <w:rsid w:val="00714008"/>
    <w:rsid w:val="00714DA2"/>
    <w:rsid w:val="0071512F"/>
    <w:rsid w:val="0071545F"/>
    <w:rsid w:val="007279F5"/>
    <w:rsid w:val="00732878"/>
    <w:rsid w:val="00732ED8"/>
    <w:rsid w:val="00733A20"/>
    <w:rsid w:val="0073742A"/>
    <w:rsid w:val="007422CA"/>
    <w:rsid w:val="00745001"/>
    <w:rsid w:val="00745779"/>
    <w:rsid w:val="00746DBA"/>
    <w:rsid w:val="00751B1E"/>
    <w:rsid w:val="00753C0F"/>
    <w:rsid w:val="007540CE"/>
    <w:rsid w:val="00755E15"/>
    <w:rsid w:val="007601EF"/>
    <w:rsid w:val="00760373"/>
    <w:rsid w:val="007619B1"/>
    <w:rsid w:val="00786BE0"/>
    <w:rsid w:val="00794F72"/>
    <w:rsid w:val="00795740"/>
    <w:rsid w:val="007B7828"/>
    <w:rsid w:val="007C2B12"/>
    <w:rsid w:val="007C6297"/>
    <w:rsid w:val="007C7F5F"/>
    <w:rsid w:val="007D17EF"/>
    <w:rsid w:val="007D2272"/>
    <w:rsid w:val="007D2D34"/>
    <w:rsid w:val="007D5A7E"/>
    <w:rsid w:val="007D5F37"/>
    <w:rsid w:val="007D6D04"/>
    <w:rsid w:val="007D7FCA"/>
    <w:rsid w:val="007E208C"/>
    <w:rsid w:val="007E67FB"/>
    <w:rsid w:val="007E6CD1"/>
    <w:rsid w:val="007F06B2"/>
    <w:rsid w:val="007F3EB5"/>
    <w:rsid w:val="007F61D0"/>
    <w:rsid w:val="007F78F1"/>
    <w:rsid w:val="00803D71"/>
    <w:rsid w:val="00804A52"/>
    <w:rsid w:val="00804C93"/>
    <w:rsid w:val="00811DBA"/>
    <w:rsid w:val="008263B0"/>
    <w:rsid w:val="00826D77"/>
    <w:rsid w:val="008279D0"/>
    <w:rsid w:val="008367BA"/>
    <w:rsid w:val="0084007B"/>
    <w:rsid w:val="00840870"/>
    <w:rsid w:val="008433A6"/>
    <w:rsid w:val="0085290F"/>
    <w:rsid w:val="00855428"/>
    <w:rsid w:val="00856CF7"/>
    <w:rsid w:val="00856E19"/>
    <w:rsid w:val="008622DD"/>
    <w:rsid w:val="00862896"/>
    <w:rsid w:val="008725C6"/>
    <w:rsid w:val="00876586"/>
    <w:rsid w:val="00881942"/>
    <w:rsid w:val="00885D5E"/>
    <w:rsid w:val="00892A2A"/>
    <w:rsid w:val="00895AAC"/>
    <w:rsid w:val="008A20B3"/>
    <w:rsid w:val="008A28CB"/>
    <w:rsid w:val="008B4179"/>
    <w:rsid w:val="008C03C3"/>
    <w:rsid w:val="008E1769"/>
    <w:rsid w:val="008E1F3F"/>
    <w:rsid w:val="008E2155"/>
    <w:rsid w:val="008E5198"/>
    <w:rsid w:val="008F239D"/>
    <w:rsid w:val="008F3559"/>
    <w:rsid w:val="009032FB"/>
    <w:rsid w:val="00915CA6"/>
    <w:rsid w:val="00917368"/>
    <w:rsid w:val="009235B3"/>
    <w:rsid w:val="00930487"/>
    <w:rsid w:val="009312CA"/>
    <w:rsid w:val="009353D9"/>
    <w:rsid w:val="00937414"/>
    <w:rsid w:val="00952F8D"/>
    <w:rsid w:val="00955A6F"/>
    <w:rsid w:val="00964F96"/>
    <w:rsid w:val="009663D1"/>
    <w:rsid w:val="00967702"/>
    <w:rsid w:val="00971BD1"/>
    <w:rsid w:val="00974883"/>
    <w:rsid w:val="00975EAC"/>
    <w:rsid w:val="00977F9C"/>
    <w:rsid w:val="00986280"/>
    <w:rsid w:val="009873FF"/>
    <w:rsid w:val="009928C9"/>
    <w:rsid w:val="00992DC8"/>
    <w:rsid w:val="00995F84"/>
    <w:rsid w:val="0099730F"/>
    <w:rsid w:val="009A5EA2"/>
    <w:rsid w:val="009A6FD0"/>
    <w:rsid w:val="009B054A"/>
    <w:rsid w:val="009B2858"/>
    <w:rsid w:val="009B2DE5"/>
    <w:rsid w:val="009B34B8"/>
    <w:rsid w:val="009D49AE"/>
    <w:rsid w:val="009D501D"/>
    <w:rsid w:val="009D7449"/>
    <w:rsid w:val="009E1058"/>
    <w:rsid w:val="009F0778"/>
    <w:rsid w:val="009F3E44"/>
    <w:rsid w:val="009F6299"/>
    <w:rsid w:val="00A149E5"/>
    <w:rsid w:val="00A153FC"/>
    <w:rsid w:val="00A2542D"/>
    <w:rsid w:val="00A278D7"/>
    <w:rsid w:val="00A27C29"/>
    <w:rsid w:val="00A33603"/>
    <w:rsid w:val="00A367C8"/>
    <w:rsid w:val="00A37693"/>
    <w:rsid w:val="00A45CA3"/>
    <w:rsid w:val="00A45F18"/>
    <w:rsid w:val="00A614C8"/>
    <w:rsid w:val="00A62247"/>
    <w:rsid w:val="00A6610B"/>
    <w:rsid w:val="00A70480"/>
    <w:rsid w:val="00A7270C"/>
    <w:rsid w:val="00A82B0B"/>
    <w:rsid w:val="00A878E0"/>
    <w:rsid w:val="00A87B9C"/>
    <w:rsid w:val="00A9577B"/>
    <w:rsid w:val="00A9762D"/>
    <w:rsid w:val="00A97BAC"/>
    <w:rsid w:val="00AB4B33"/>
    <w:rsid w:val="00AB4D58"/>
    <w:rsid w:val="00AB520D"/>
    <w:rsid w:val="00AB5916"/>
    <w:rsid w:val="00AB6E37"/>
    <w:rsid w:val="00AB77FF"/>
    <w:rsid w:val="00AC3CFE"/>
    <w:rsid w:val="00AC470D"/>
    <w:rsid w:val="00AC7F0D"/>
    <w:rsid w:val="00AD0858"/>
    <w:rsid w:val="00AD202A"/>
    <w:rsid w:val="00AD24EC"/>
    <w:rsid w:val="00AD258E"/>
    <w:rsid w:val="00AD4DAF"/>
    <w:rsid w:val="00AD66E2"/>
    <w:rsid w:val="00AF42BA"/>
    <w:rsid w:val="00AF45D7"/>
    <w:rsid w:val="00AF5870"/>
    <w:rsid w:val="00B04CA6"/>
    <w:rsid w:val="00B101F1"/>
    <w:rsid w:val="00B135AA"/>
    <w:rsid w:val="00B17438"/>
    <w:rsid w:val="00B2137B"/>
    <w:rsid w:val="00B3047D"/>
    <w:rsid w:val="00B31994"/>
    <w:rsid w:val="00B33D45"/>
    <w:rsid w:val="00B36554"/>
    <w:rsid w:val="00B41C19"/>
    <w:rsid w:val="00B44FC3"/>
    <w:rsid w:val="00B5127C"/>
    <w:rsid w:val="00B601D5"/>
    <w:rsid w:val="00B6462C"/>
    <w:rsid w:val="00B64838"/>
    <w:rsid w:val="00B67AF9"/>
    <w:rsid w:val="00B7542E"/>
    <w:rsid w:val="00B81287"/>
    <w:rsid w:val="00B8397A"/>
    <w:rsid w:val="00B84124"/>
    <w:rsid w:val="00B841E6"/>
    <w:rsid w:val="00B908A4"/>
    <w:rsid w:val="00B912C6"/>
    <w:rsid w:val="00B92794"/>
    <w:rsid w:val="00B936AF"/>
    <w:rsid w:val="00B93AEA"/>
    <w:rsid w:val="00B97B69"/>
    <w:rsid w:val="00BA4E15"/>
    <w:rsid w:val="00BA5C95"/>
    <w:rsid w:val="00BA76D8"/>
    <w:rsid w:val="00BB028C"/>
    <w:rsid w:val="00BB56DE"/>
    <w:rsid w:val="00BB7676"/>
    <w:rsid w:val="00BB7853"/>
    <w:rsid w:val="00BC11B8"/>
    <w:rsid w:val="00BC1268"/>
    <w:rsid w:val="00BD5816"/>
    <w:rsid w:val="00BD607C"/>
    <w:rsid w:val="00BD77D8"/>
    <w:rsid w:val="00BF0B81"/>
    <w:rsid w:val="00BF0BA0"/>
    <w:rsid w:val="00BF1841"/>
    <w:rsid w:val="00BF1A08"/>
    <w:rsid w:val="00BF524A"/>
    <w:rsid w:val="00BF71FC"/>
    <w:rsid w:val="00C04D6E"/>
    <w:rsid w:val="00C05D72"/>
    <w:rsid w:val="00C074CA"/>
    <w:rsid w:val="00C10DC9"/>
    <w:rsid w:val="00C13082"/>
    <w:rsid w:val="00C13286"/>
    <w:rsid w:val="00C14D2D"/>
    <w:rsid w:val="00C1753E"/>
    <w:rsid w:val="00C20605"/>
    <w:rsid w:val="00C257AE"/>
    <w:rsid w:val="00C267A5"/>
    <w:rsid w:val="00C31D86"/>
    <w:rsid w:val="00C36CCA"/>
    <w:rsid w:val="00C41EDF"/>
    <w:rsid w:val="00C518F0"/>
    <w:rsid w:val="00C5267D"/>
    <w:rsid w:val="00C53E9A"/>
    <w:rsid w:val="00C6183F"/>
    <w:rsid w:val="00C6491F"/>
    <w:rsid w:val="00C71916"/>
    <w:rsid w:val="00C76112"/>
    <w:rsid w:val="00C8060B"/>
    <w:rsid w:val="00C85C83"/>
    <w:rsid w:val="00C864FC"/>
    <w:rsid w:val="00C8727A"/>
    <w:rsid w:val="00C913CE"/>
    <w:rsid w:val="00C92DBD"/>
    <w:rsid w:val="00C93BEF"/>
    <w:rsid w:val="00CA54A9"/>
    <w:rsid w:val="00CB2E01"/>
    <w:rsid w:val="00CB3440"/>
    <w:rsid w:val="00CB5372"/>
    <w:rsid w:val="00CC294A"/>
    <w:rsid w:val="00CC6798"/>
    <w:rsid w:val="00CD371C"/>
    <w:rsid w:val="00CD3723"/>
    <w:rsid w:val="00CD623F"/>
    <w:rsid w:val="00CD7E0C"/>
    <w:rsid w:val="00CE2DB4"/>
    <w:rsid w:val="00CE411C"/>
    <w:rsid w:val="00CE591F"/>
    <w:rsid w:val="00CF173B"/>
    <w:rsid w:val="00CF40A1"/>
    <w:rsid w:val="00D00137"/>
    <w:rsid w:val="00D033EB"/>
    <w:rsid w:val="00D0533F"/>
    <w:rsid w:val="00D10EC7"/>
    <w:rsid w:val="00D14D07"/>
    <w:rsid w:val="00D20FBB"/>
    <w:rsid w:val="00D265B9"/>
    <w:rsid w:val="00D328B1"/>
    <w:rsid w:val="00D33933"/>
    <w:rsid w:val="00D33CA0"/>
    <w:rsid w:val="00D3426F"/>
    <w:rsid w:val="00D439E4"/>
    <w:rsid w:val="00D4446E"/>
    <w:rsid w:val="00D463C4"/>
    <w:rsid w:val="00D4666F"/>
    <w:rsid w:val="00D47881"/>
    <w:rsid w:val="00D5281B"/>
    <w:rsid w:val="00D54A67"/>
    <w:rsid w:val="00D571F8"/>
    <w:rsid w:val="00D60D83"/>
    <w:rsid w:val="00D627B1"/>
    <w:rsid w:val="00D62BDB"/>
    <w:rsid w:val="00D64110"/>
    <w:rsid w:val="00D64BE9"/>
    <w:rsid w:val="00D6778D"/>
    <w:rsid w:val="00D67F61"/>
    <w:rsid w:val="00D70AEA"/>
    <w:rsid w:val="00D70F88"/>
    <w:rsid w:val="00D728BD"/>
    <w:rsid w:val="00D73C0E"/>
    <w:rsid w:val="00D749CB"/>
    <w:rsid w:val="00D7766D"/>
    <w:rsid w:val="00D84B38"/>
    <w:rsid w:val="00D86664"/>
    <w:rsid w:val="00D87834"/>
    <w:rsid w:val="00D913F7"/>
    <w:rsid w:val="00D92871"/>
    <w:rsid w:val="00D947D8"/>
    <w:rsid w:val="00D957A8"/>
    <w:rsid w:val="00D96DE6"/>
    <w:rsid w:val="00D9778F"/>
    <w:rsid w:val="00DA5752"/>
    <w:rsid w:val="00DA7F1E"/>
    <w:rsid w:val="00DB0348"/>
    <w:rsid w:val="00DD3B90"/>
    <w:rsid w:val="00DD56C2"/>
    <w:rsid w:val="00DD73F9"/>
    <w:rsid w:val="00DE0812"/>
    <w:rsid w:val="00DE1B99"/>
    <w:rsid w:val="00DE63EC"/>
    <w:rsid w:val="00DF35F4"/>
    <w:rsid w:val="00DF41E5"/>
    <w:rsid w:val="00DF463A"/>
    <w:rsid w:val="00DF71FF"/>
    <w:rsid w:val="00E00780"/>
    <w:rsid w:val="00E068F1"/>
    <w:rsid w:val="00E12E5B"/>
    <w:rsid w:val="00E13875"/>
    <w:rsid w:val="00E155F5"/>
    <w:rsid w:val="00E21054"/>
    <w:rsid w:val="00E3205C"/>
    <w:rsid w:val="00E32325"/>
    <w:rsid w:val="00E35382"/>
    <w:rsid w:val="00E37D62"/>
    <w:rsid w:val="00E410EA"/>
    <w:rsid w:val="00E457C1"/>
    <w:rsid w:val="00E50F7B"/>
    <w:rsid w:val="00E53B7B"/>
    <w:rsid w:val="00E56799"/>
    <w:rsid w:val="00E6494A"/>
    <w:rsid w:val="00E70964"/>
    <w:rsid w:val="00E739AE"/>
    <w:rsid w:val="00E80BDD"/>
    <w:rsid w:val="00E85991"/>
    <w:rsid w:val="00E93446"/>
    <w:rsid w:val="00E94724"/>
    <w:rsid w:val="00E975FE"/>
    <w:rsid w:val="00E97CE7"/>
    <w:rsid w:val="00EA5A6E"/>
    <w:rsid w:val="00EC4D7E"/>
    <w:rsid w:val="00EC50D4"/>
    <w:rsid w:val="00EC5462"/>
    <w:rsid w:val="00ED19AE"/>
    <w:rsid w:val="00ED20C8"/>
    <w:rsid w:val="00ED2C9E"/>
    <w:rsid w:val="00ED4FC5"/>
    <w:rsid w:val="00EF1FCA"/>
    <w:rsid w:val="00EF5762"/>
    <w:rsid w:val="00EF6FC7"/>
    <w:rsid w:val="00EF7961"/>
    <w:rsid w:val="00F024A8"/>
    <w:rsid w:val="00F04BFC"/>
    <w:rsid w:val="00F04FCE"/>
    <w:rsid w:val="00F076B3"/>
    <w:rsid w:val="00F10B09"/>
    <w:rsid w:val="00F115FB"/>
    <w:rsid w:val="00F11707"/>
    <w:rsid w:val="00F17C03"/>
    <w:rsid w:val="00F17FFC"/>
    <w:rsid w:val="00F2580C"/>
    <w:rsid w:val="00F264D9"/>
    <w:rsid w:val="00F33B6B"/>
    <w:rsid w:val="00F37425"/>
    <w:rsid w:val="00F418B2"/>
    <w:rsid w:val="00F43F82"/>
    <w:rsid w:val="00F51F3C"/>
    <w:rsid w:val="00F53D9C"/>
    <w:rsid w:val="00F5592F"/>
    <w:rsid w:val="00F6409E"/>
    <w:rsid w:val="00F67332"/>
    <w:rsid w:val="00F73211"/>
    <w:rsid w:val="00F77283"/>
    <w:rsid w:val="00F772C3"/>
    <w:rsid w:val="00F80338"/>
    <w:rsid w:val="00F81A93"/>
    <w:rsid w:val="00F84F93"/>
    <w:rsid w:val="00F8501D"/>
    <w:rsid w:val="00FA12B9"/>
    <w:rsid w:val="00FA78C0"/>
    <w:rsid w:val="00FB0C70"/>
    <w:rsid w:val="00FB7A38"/>
    <w:rsid w:val="00FC6A22"/>
    <w:rsid w:val="00FD0D54"/>
    <w:rsid w:val="00FD1B14"/>
    <w:rsid w:val="00FD1DC9"/>
    <w:rsid w:val="00FD29D5"/>
    <w:rsid w:val="00FE65F9"/>
    <w:rsid w:val="00FF49E8"/>
    <w:rsid w:val="00FF5F83"/>
    <w:rsid w:val="01454C21"/>
    <w:rsid w:val="02E828A9"/>
    <w:rsid w:val="0367315B"/>
    <w:rsid w:val="039452D6"/>
    <w:rsid w:val="061139E5"/>
    <w:rsid w:val="06F50B00"/>
    <w:rsid w:val="076E1278"/>
    <w:rsid w:val="07BB058C"/>
    <w:rsid w:val="07DF5FB5"/>
    <w:rsid w:val="081A08AE"/>
    <w:rsid w:val="081D6F74"/>
    <w:rsid w:val="087D5A4F"/>
    <w:rsid w:val="08D1141D"/>
    <w:rsid w:val="09130765"/>
    <w:rsid w:val="09CF6571"/>
    <w:rsid w:val="0B296DE2"/>
    <w:rsid w:val="0B721453"/>
    <w:rsid w:val="0D0126E0"/>
    <w:rsid w:val="0D044784"/>
    <w:rsid w:val="0D14732D"/>
    <w:rsid w:val="0D3547C9"/>
    <w:rsid w:val="0EFD592E"/>
    <w:rsid w:val="0F7B4AA5"/>
    <w:rsid w:val="0FB5725B"/>
    <w:rsid w:val="0FB7670E"/>
    <w:rsid w:val="10294AA3"/>
    <w:rsid w:val="10E40CA0"/>
    <w:rsid w:val="12584C20"/>
    <w:rsid w:val="136130D9"/>
    <w:rsid w:val="13805E8A"/>
    <w:rsid w:val="144A1892"/>
    <w:rsid w:val="14762538"/>
    <w:rsid w:val="14D568B5"/>
    <w:rsid w:val="15800409"/>
    <w:rsid w:val="15AD01BA"/>
    <w:rsid w:val="16AE1C29"/>
    <w:rsid w:val="16B72867"/>
    <w:rsid w:val="173600E6"/>
    <w:rsid w:val="18DD4F7E"/>
    <w:rsid w:val="19544509"/>
    <w:rsid w:val="195B58A2"/>
    <w:rsid w:val="1989465C"/>
    <w:rsid w:val="1A2360C8"/>
    <w:rsid w:val="1A6D475E"/>
    <w:rsid w:val="1B6947A7"/>
    <w:rsid w:val="1C8E406A"/>
    <w:rsid w:val="1CC40373"/>
    <w:rsid w:val="1E085A14"/>
    <w:rsid w:val="1E657D90"/>
    <w:rsid w:val="1ED93E25"/>
    <w:rsid w:val="1F351ED7"/>
    <w:rsid w:val="1FF43DDB"/>
    <w:rsid w:val="20625E24"/>
    <w:rsid w:val="21156B08"/>
    <w:rsid w:val="21933AA2"/>
    <w:rsid w:val="21BE0F4D"/>
    <w:rsid w:val="22B76993"/>
    <w:rsid w:val="22E07B9F"/>
    <w:rsid w:val="231F5346"/>
    <w:rsid w:val="2333574E"/>
    <w:rsid w:val="23940057"/>
    <w:rsid w:val="255C7E5F"/>
    <w:rsid w:val="25BF356F"/>
    <w:rsid w:val="25C95B03"/>
    <w:rsid w:val="25DB0C2D"/>
    <w:rsid w:val="267F6210"/>
    <w:rsid w:val="269469E7"/>
    <w:rsid w:val="26EF5299"/>
    <w:rsid w:val="27981585"/>
    <w:rsid w:val="27E149AB"/>
    <w:rsid w:val="27EE0826"/>
    <w:rsid w:val="280F47C0"/>
    <w:rsid w:val="2998140D"/>
    <w:rsid w:val="29FC3B14"/>
    <w:rsid w:val="2A056A4F"/>
    <w:rsid w:val="2B11792E"/>
    <w:rsid w:val="2BCC4D8A"/>
    <w:rsid w:val="2D3639F2"/>
    <w:rsid w:val="2E666BF4"/>
    <w:rsid w:val="2F724BD0"/>
    <w:rsid w:val="2FC5779A"/>
    <w:rsid w:val="306A51FE"/>
    <w:rsid w:val="308C67A6"/>
    <w:rsid w:val="318B24CE"/>
    <w:rsid w:val="31C54755"/>
    <w:rsid w:val="31D23053"/>
    <w:rsid w:val="3216608C"/>
    <w:rsid w:val="322152B0"/>
    <w:rsid w:val="328F13DA"/>
    <w:rsid w:val="34CE14C6"/>
    <w:rsid w:val="34D84CEC"/>
    <w:rsid w:val="35DC515B"/>
    <w:rsid w:val="37AF5AB7"/>
    <w:rsid w:val="38B844F1"/>
    <w:rsid w:val="399C3DF7"/>
    <w:rsid w:val="39E568DF"/>
    <w:rsid w:val="3A387F18"/>
    <w:rsid w:val="3AC225C0"/>
    <w:rsid w:val="3B1C3371"/>
    <w:rsid w:val="3C4C749B"/>
    <w:rsid w:val="3CAE3A33"/>
    <w:rsid w:val="3CC23198"/>
    <w:rsid w:val="3DDF4815"/>
    <w:rsid w:val="3F447AD9"/>
    <w:rsid w:val="3FE669E5"/>
    <w:rsid w:val="42C84A21"/>
    <w:rsid w:val="43CA6D32"/>
    <w:rsid w:val="445C09D8"/>
    <w:rsid w:val="44B33DBE"/>
    <w:rsid w:val="44B70186"/>
    <w:rsid w:val="459C39D0"/>
    <w:rsid w:val="462A54F2"/>
    <w:rsid w:val="486C4718"/>
    <w:rsid w:val="48BC1E8C"/>
    <w:rsid w:val="4A286FFC"/>
    <w:rsid w:val="4A344C53"/>
    <w:rsid w:val="4A6A5207"/>
    <w:rsid w:val="4B3B68BB"/>
    <w:rsid w:val="4B410375"/>
    <w:rsid w:val="4B876203"/>
    <w:rsid w:val="50F63E28"/>
    <w:rsid w:val="5221007F"/>
    <w:rsid w:val="52926B5A"/>
    <w:rsid w:val="52B7258B"/>
    <w:rsid w:val="52F74B88"/>
    <w:rsid w:val="545C5E51"/>
    <w:rsid w:val="5486175B"/>
    <w:rsid w:val="56A70955"/>
    <w:rsid w:val="57667D24"/>
    <w:rsid w:val="57C67347"/>
    <w:rsid w:val="57CE5BC3"/>
    <w:rsid w:val="57FB365A"/>
    <w:rsid w:val="5998493F"/>
    <w:rsid w:val="59B9557B"/>
    <w:rsid w:val="59C5385A"/>
    <w:rsid w:val="5A2D3E44"/>
    <w:rsid w:val="5A3260D4"/>
    <w:rsid w:val="5A8E6A07"/>
    <w:rsid w:val="5AD75FB8"/>
    <w:rsid w:val="5AE1516A"/>
    <w:rsid w:val="5B3226FA"/>
    <w:rsid w:val="5B6A3A79"/>
    <w:rsid w:val="5C1A5F7B"/>
    <w:rsid w:val="5D7A3273"/>
    <w:rsid w:val="5E2B4120"/>
    <w:rsid w:val="5E543886"/>
    <w:rsid w:val="5E687FB4"/>
    <w:rsid w:val="601675AC"/>
    <w:rsid w:val="60342B61"/>
    <w:rsid w:val="60824E5B"/>
    <w:rsid w:val="627A792A"/>
    <w:rsid w:val="628D3982"/>
    <w:rsid w:val="62C51434"/>
    <w:rsid w:val="62E96122"/>
    <w:rsid w:val="645771F8"/>
    <w:rsid w:val="65D57404"/>
    <w:rsid w:val="66CC0AF0"/>
    <w:rsid w:val="677B0314"/>
    <w:rsid w:val="67CE38BB"/>
    <w:rsid w:val="68196BB6"/>
    <w:rsid w:val="68246BFD"/>
    <w:rsid w:val="693C3D94"/>
    <w:rsid w:val="69962A8F"/>
    <w:rsid w:val="6A3E5143"/>
    <w:rsid w:val="6A54112D"/>
    <w:rsid w:val="6A701C86"/>
    <w:rsid w:val="6A9109B8"/>
    <w:rsid w:val="6AA035AE"/>
    <w:rsid w:val="6BCB034D"/>
    <w:rsid w:val="6C0E1756"/>
    <w:rsid w:val="6C2B2406"/>
    <w:rsid w:val="6D1B5A5A"/>
    <w:rsid w:val="6E0F2E14"/>
    <w:rsid w:val="6E71313D"/>
    <w:rsid w:val="6F1E141D"/>
    <w:rsid w:val="6F5354F8"/>
    <w:rsid w:val="71D648EC"/>
    <w:rsid w:val="71E85B35"/>
    <w:rsid w:val="727810B8"/>
    <w:rsid w:val="7293546A"/>
    <w:rsid w:val="72E05B2C"/>
    <w:rsid w:val="73F81307"/>
    <w:rsid w:val="740A2BDE"/>
    <w:rsid w:val="749A643F"/>
    <w:rsid w:val="751839E0"/>
    <w:rsid w:val="754B1349"/>
    <w:rsid w:val="756178E9"/>
    <w:rsid w:val="756C27CE"/>
    <w:rsid w:val="75A1093B"/>
    <w:rsid w:val="75BE7C69"/>
    <w:rsid w:val="76274F93"/>
    <w:rsid w:val="78632A79"/>
    <w:rsid w:val="78F732D8"/>
    <w:rsid w:val="79670CA0"/>
    <w:rsid w:val="79EB3F2F"/>
    <w:rsid w:val="79FD3C4B"/>
    <w:rsid w:val="7A1D7427"/>
    <w:rsid w:val="7B11789E"/>
    <w:rsid w:val="7CEE7A95"/>
    <w:rsid w:val="7D250FF6"/>
    <w:rsid w:val="7D602708"/>
    <w:rsid w:val="7DC94A0A"/>
    <w:rsid w:val="7E604868"/>
    <w:rsid w:val="7E7038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7059F5-8B4F-4F96-A75D-95DFDB650B0C}">
  <ds:schemaRefs/>
</ds:datastoreItem>
</file>